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5A514" w14:textId="737DBF1E" w:rsidR="002D6BB9" w:rsidRPr="007622BF" w:rsidRDefault="00E26DD2" w:rsidP="004A46AB">
      <w:pPr>
        <w:widowControl w:val="0"/>
        <w:spacing w:after="0" w:line="240" w:lineRule="auto"/>
        <w:rPr>
          <w:rFonts w:ascii="BentonSans Regular" w:hAnsi="BentonSans Regular"/>
          <w:b/>
          <w:bCs/>
          <w:sz w:val="22"/>
          <w:szCs w:val="22"/>
        </w:rPr>
      </w:pPr>
      <w:r>
        <w:rPr>
          <w:rFonts w:ascii="BentonSans Book" w:eastAsia="Arimo" w:hAnsi="BentonSans Book" w:cs="Arimo"/>
          <w:noProof/>
          <w:color w:val="000000"/>
          <w:sz w:val="21"/>
          <w:szCs w:val="21"/>
        </w:rPr>
        <w:drawing>
          <wp:anchor distT="0" distB="0" distL="114300" distR="114300" simplePos="0" relativeHeight="251661312" behindDoc="1" locked="0" layoutInCell="1" allowOverlap="1" wp14:anchorId="0AC4C310" wp14:editId="15B87F85">
            <wp:simplePos x="0" y="0"/>
            <wp:positionH relativeFrom="column">
              <wp:posOffset>4831080</wp:posOffset>
            </wp:positionH>
            <wp:positionV relativeFrom="paragraph">
              <wp:posOffset>-91440</wp:posOffset>
            </wp:positionV>
            <wp:extent cx="1983006" cy="1112520"/>
            <wp:effectExtent l="0" t="0" r="0" b="0"/>
            <wp:wrapNone/>
            <wp:docPr id="18501742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74266"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3006" cy="1112520"/>
                    </a:xfrm>
                    <a:prstGeom prst="rect">
                      <a:avLst/>
                    </a:prstGeom>
                  </pic:spPr>
                </pic:pic>
              </a:graphicData>
            </a:graphic>
            <wp14:sizeRelH relativeFrom="page">
              <wp14:pctWidth>0</wp14:pctWidth>
            </wp14:sizeRelH>
            <wp14:sizeRelV relativeFrom="page">
              <wp14:pctHeight>0</wp14:pctHeight>
            </wp14:sizeRelV>
          </wp:anchor>
        </w:drawing>
      </w:r>
      <w:r w:rsidRPr="007622BF">
        <w:rPr>
          <w:rFonts w:ascii="BentonSans Regular" w:eastAsia="Canva Sans Bold" w:hAnsi="BentonSans Regular" w:cs="Canva Sans Bold"/>
          <w:b/>
          <w:bCs/>
          <w:color w:val="000000"/>
          <w:sz w:val="52"/>
          <w:szCs w:val="54"/>
        </w:rPr>
        <w:t xml:space="preserve">Medication Adherence </w:t>
      </w:r>
    </w:p>
    <w:p w14:paraId="2D5A949C" w14:textId="06803B3F" w:rsidR="002D6BB9" w:rsidRPr="004A46AB" w:rsidRDefault="00000000" w:rsidP="004A46AB">
      <w:pPr>
        <w:widowControl w:val="0"/>
        <w:spacing w:after="0" w:line="240" w:lineRule="auto"/>
        <w:rPr>
          <w:rFonts w:ascii="BentonSans Medium" w:hAnsi="BentonSans Medium"/>
        </w:rPr>
      </w:pPr>
      <w:r w:rsidRPr="004A46AB">
        <w:rPr>
          <w:rFonts w:ascii="BentonSans Medium" w:eastAsia="Canva Sans Bold" w:hAnsi="BentonSans Medium" w:cs="Canva Sans Bold"/>
          <w:color w:val="000000"/>
          <w:sz w:val="32"/>
          <w:szCs w:val="32"/>
        </w:rPr>
        <w:t xml:space="preserve">Improvement Strategies for Prescribing </w:t>
      </w:r>
      <w:r w:rsidR="00E26DD2">
        <w:rPr>
          <w:rFonts w:ascii="BentonSans Medium" w:eastAsia="Canva Sans Bold" w:hAnsi="BentonSans Medium" w:cs="Canva Sans Bold"/>
          <w:color w:val="000000"/>
          <w:sz w:val="32"/>
          <w:szCs w:val="32"/>
        </w:rPr>
        <w:br/>
      </w:r>
      <w:r w:rsidRPr="004A46AB">
        <w:rPr>
          <w:rFonts w:ascii="BentonSans Medium" w:eastAsia="Canva Sans Bold" w:hAnsi="BentonSans Medium" w:cs="Canva Sans Bold"/>
          <w:color w:val="000000"/>
          <w:sz w:val="32"/>
          <w:szCs w:val="32"/>
        </w:rPr>
        <w:t xml:space="preserve">Psychiatric Medications to Children </w:t>
      </w:r>
      <w:r w:rsidR="004A46AB" w:rsidRPr="004A46AB">
        <w:rPr>
          <w:rFonts w:ascii="BentonSans Medium" w:eastAsia="Canva Sans Bold" w:hAnsi="BentonSans Medium" w:cs="Canva Sans Bold"/>
          <w:color w:val="000000"/>
          <w:sz w:val="32"/>
          <w:szCs w:val="32"/>
        </w:rPr>
        <w:t>&amp;</w:t>
      </w:r>
      <w:r w:rsidRPr="004A46AB">
        <w:rPr>
          <w:rFonts w:ascii="BentonSans Medium" w:eastAsia="Canva Sans Bold" w:hAnsi="BentonSans Medium" w:cs="Canva Sans Bold"/>
          <w:color w:val="000000"/>
          <w:sz w:val="32"/>
          <w:szCs w:val="32"/>
        </w:rPr>
        <w:t xml:space="preserve"> Adolescents </w:t>
      </w:r>
    </w:p>
    <w:p w14:paraId="0703F2D2" w14:textId="344CA18D" w:rsidR="002D6BB9" w:rsidRPr="004A46AB" w:rsidRDefault="007622BF" w:rsidP="004A46AB">
      <w:pPr>
        <w:widowControl w:val="0"/>
        <w:spacing w:line="240" w:lineRule="auto"/>
        <w:rPr>
          <w:rFonts w:ascii="BentonSans Book" w:hAnsi="BentonSans Book"/>
          <w:sz w:val="21"/>
          <w:szCs w:val="21"/>
        </w:rPr>
      </w:pPr>
      <w:r>
        <w:rPr>
          <w:rFonts w:ascii="BentonSans Book" w:eastAsia="Canva Sans" w:hAnsi="BentonSans Book" w:cs="Canva Sans"/>
          <w:color w:val="000000"/>
          <w:sz w:val="22"/>
          <w:szCs w:val="22"/>
        </w:rPr>
        <w:br/>
      </w:r>
      <w:r w:rsidRPr="004A46AB">
        <w:rPr>
          <w:rFonts w:ascii="BentonSans Book" w:eastAsia="Canva Sans" w:hAnsi="BentonSans Book" w:cs="Canva Sans"/>
          <w:color w:val="000000"/>
          <w:sz w:val="21"/>
          <w:szCs w:val="21"/>
        </w:rPr>
        <w:t xml:space="preserve">Healthcare providers often express frustration when their patients do not take their medications as prescribed. Medication adherence is defined as taking 80% or more of prescribed medications. However, adherence is a goal that most of us, as patients, do not achieve much of the time. About 50% of patients are not adherent; nonadherence is the norm. </w:t>
      </w:r>
      <w:r w:rsidR="00E26DD2">
        <w:rPr>
          <w:rFonts w:ascii="BentonSans Book" w:eastAsia="Canva Sans" w:hAnsi="BentonSans Book" w:cs="Canva Sans"/>
          <w:color w:val="000000"/>
          <w:sz w:val="21"/>
          <w:szCs w:val="21"/>
        </w:rPr>
        <w:t>For instance, m</w:t>
      </w:r>
      <w:r w:rsidRPr="004A46AB">
        <w:rPr>
          <w:rFonts w:ascii="BentonSans Book" w:eastAsia="Canva Sans" w:hAnsi="BentonSans Book" w:cs="Canva Sans"/>
          <w:color w:val="000000"/>
          <w:sz w:val="21"/>
          <w:szCs w:val="21"/>
        </w:rPr>
        <w:t xml:space="preserve">ost patients treated for ADHD stop medication within 4 months of the first prescription, and 20% stop after just one month. The adherence rate for adolescents on ADHD medication is 5 to 15%.  </w:t>
      </w:r>
    </w:p>
    <w:p w14:paraId="3D871F6E" w14:textId="4B7DBE23" w:rsidR="002D6BB9" w:rsidRPr="004A46AB" w:rsidRDefault="00000000" w:rsidP="004A46AB">
      <w:pPr>
        <w:widowControl w:val="0"/>
        <w:spacing w:line="240" w:lineRule="auto"/>
        <w:rPr>
          <w:rFonts w:ascii="BentonSans Book" w:hAnsi="BentonSans Book"/>
          <w:sz w:val="21"/>
          <w:szCs w:val="21"/>
        </w:rPr>
      </w:pPr>
      <w:r w:rsidRPr="004A46AB">
        <w:rPr>
          <w:rFonts w:ascii="BentonSans Book" w:eastAsia="Canva Sans" w:hAnsi="BentonSans Book" w:cs="Canva Sans"/>
          <w:color w:val="000000"/>
          <w:sz w:val="21"/>
          <w:szCs w:val="21"/>
        </w:rPr>
        <w:t xml:space="preserve">Patients and their families are often reluctant to tell healthcare providers that they have not taken their medications as prescribed. This may lead clinicians to prescribe higher doses of medication that are not taken or are taken irregularly, leading to adverse effects or to patients dropping out of treatment. Patients are the most adherent with medication regimes in the weeks just before and after healthcare visits or blood level checks, so blood levels may overestimate daily adherence over the long term. </w:t>
      </w:r>
    </w:p>
    <w:p w14:paraId="03CDA132" w14:textId="1246F4B4" w:rsidR="002D6BB9" w:rsidRPr="004A46AB" w:rsidRDefault="00000000" w:rsidP="004A46AB">
      <w:pPr>
        <w:widowControl w:val="0"/>
        <w:spacing w:line="240" w:lineRule="auto"/>
        <w:rPr>
          <w:rFonts w:ascii="BentonSans Book" w:hAnsi="BentonSans Book"/>
          <w:sz w:val="21"/>
          <w:szCs w:val="21"/>
        </w:rPr>
      </w:pPr>
      <w:r w:rsidRPr="004A46AB">
        <w:rPr>
          <w:rFonts w:ascii="BentonSans Book" w:eastAsia="Canva Sans" w:hAnsi="BentonSans Book" w:cs="Canva Sans"/>
          <w:color w:val="000000"/>
          <w:sz w:val="21"/>
          <w:szCs w:val="21"/>
        </w:rPr>
        <w:t xml:space="preserve">Healthcare providers can improve medication adherence by expecting and normalizing nonadherence, providing a safe environment to discuss adherence barriers (Table 1), and assessing adherence at every patient visit. </w:t>
      </w:r>
    </w:p>
    <w:p w14:paraId="02ADB3AA" w14:textId="01107C64" w:rsidR="002D6BB9" w:rsidRPr="007622BF" w:rsidRDefault="00000000" w:rsidP="004A46AB">
      <w:pPr>
        <w:widowControl w:val="0"/>
        <w:spacing w:after="0" w:line="240" w:lineRule="auto"/>
        <w:rPr>
          <w:rFonts w:ascii="BentonSans Medium" w:hAnsi="BentonSans Medium"/>
          <w:sz w:val="22"/>
          <w:szCs w:val="22"/>
        </w:rPr>
      </w:pPr>
      <w:r w:rsidRPr="007622BF">
        <w:rPr>
          <w:rFonts w:ascii="BentonSans Medium" w:eastAsia="Canva Sans Bold" w:hAnsi="BentonSans Medium" w:cs="Canva Sans Bold"/>
          <w:color w:val="000000"/>
          <w:szCs w:val="26"/>
        </w:rPr>
        <w:t xml:space="preserve">Table 1. Common Barriers to Adherence </w:t>
      </w:r>
      <w:r w:rsidR="007622BF">
        <w:rPr>
          <w:rFonts w:ascii="BentonSans Medium" w:eastAsia="Canva Sans Bold" w:hAnsi="BentonSans Medium" w:cs="Canva Sans Bold"/>
          <w:color w:val="000000"/>
          <w:szCs w:val="26"/>
        </w:rPr>
        <w:br/>
      </w:r>
    </w:p>
    <w:tbl>
      <w:tblPr>
        <w:tblW w:w="1071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2970"/>
        <w:gridCol w:w="7740"/>
      </w:tblGrid>
      <w:tr w:rsidR="002D6BB9" w:rsidRPr="007622BF" w14:paraId="1226D965" w14:textId="77777777" w:rsidTr="00E26DD2">
        <w:tc>
          <w:tcPr>
            <w:tcW w:w="2970" w:type="dxa"/>
            <w:tcBorders>
              <w:top w:val="single" w:sz="4" w:space="0" w:color="auto"/>
              <w:bottom w:val="single" w:sz="4" w:space="0" w:color="auto"/>
            </w:tcBorders>
            <w:shd w:val="clear" w:color="auto" w:fill="C1E4F5" w:themeFill="accent1" w:themeFillTint="33"/>
            <w:tcMar>
              <w:top w:w="180" w:type="dxa"/>
              <w:left w:w="180" w:type="dxa"/>
              <w:bottom w:w="180" w:type="dxa"/>
              <w:right w:w="180" w:type="dxa"/>
            </w:tcMar>
          </w:tcPr>
          <w:p w14:paraId="5CD23295"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Barrier type</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shd w:val="clear" w:color="auto" w:fill="C1E4F5" w:themeFill="accent1" w:themeFillTint="33"/>
            <w:tcMar>
              <w:top w:w="180" w:type="dxa"/>
              <w:left w:w="180" w:type="dxa"/>
              <w:bottom w:w="180" w:type="dxa"/>
              <w:right w:w="180" w:type="dxa"/>
            </w:tcMar>
          </w:tcPr>
          <w:p w14:paraId="06EB7652"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Examples</w:t>
            </w:r>
            <w:r w:rsidRPr="007622BF">
              <w:rPr>
                <w:rFonts w:ascii="BentonSans Medium" w:eastAsia="Canva Sans" w:hAnsi="BentonSans Medium" w:cs="Canva Sans"/>
                <w:color w:val="000000"/>
                <w:sz w:val="20"/>
                <w:szCs w:val="18"/>
              </w:rPr>
              <w:t xml:space="preserve"> </w:t>
            </w:r>
          </w:p>
        </w:tc>
      </w:tr>
      <w:tr w:rsidR="002D6BB9" w:rsidRPr="007622BF" w14:paraId="22D4CEDC" w14:textId="77777777" w:rsidTr="00E26DD2">
        <w:tc>
          <w:tcPr>
            <w:tcW w:w="2970" w:type="dxa"/>
            <w:tcBorders>
              <w:top w:val="single" w:sz="4" w:space="0" w:color="auto"/>
              <w:bottom w:val="single" w:sz="4" w:space="0" w:color="auto"/>
            </w:tcBorders>
            <w:tcMar>
              <w:top w:w="180" w:type="dxa"/>
              <w:left w:w="180" w:type="dxa"/>
              <w:bottom w:w="180" w:type="dxa"/>
              <w:right w:w="180" w:type="dxa"/>
            </w:tcMar>
          </w:tcPr>
          <w:p w14:paraId="776EB49B"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Pharmacy delays</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tcMar>
              <w:top w:w="180" w:type="dxa"/>
              <w:left w:w="180" w:type="dxa"/>
              <w:bottom w:w="180" w:type="dxa"/>
              <w:right w:w="180" w:type="dxa"/>
            </w:tcMar>
          </w:tcPr>
          <w:p w14:paraId="6D1391FF" w14:textId="77777777" w:rsidR="002D6BB9" w:rsidRPr="007622BF" w:rsidRDefault="00000000" w:rsidP="004A46AB">
            <w:pPr>
              <w:widowControl w:val="0"/>
              <w:spacing w:after="0" w:line="240" w:lineRule="auto"/>
              <w:rPr>
                <w:rFonts w:ascii="BentonSans Book" w:hAnsi="BentonSans Book"/>
                <w:sz w:val="20"/>
                <w:szCs w:val="18"/>
              </w:rPr>
            </w:pPr>
            <w:r w:rsidRPr="007622BF">
              <w:rPr>
                <w:rFonts w:ascii="BentonSans Book" w:eastAsia="Canva Sans" w:hAnsi="BentonSans Book" w:cs="Canva Sans"/>
                <w:color w:val="000000"/>
                <w:sz w:val="20"/>
                <w:szCs w:val="18"/>
              </w:rPr>
              <w:t xml:space="preserve">Difficulty obtaining transportation to pharmacy, long wait at pharmacy, medication shortage at pharmacy </w:t>
            </w:r>
          </w:p>
        </w:tc>
      </w:tr>
      <w:tr w:rsidR="002D6BB9" w:rsidRPr="007622BF" w14:paraId="075957EB" w14:textId="77777777" w:rsidTr="00E26DD2">
        <w:tc>
          <w:tcPr>
            <w:tcW w:w="2970" w:type="dxa"/>
            <w:tcBorders>
              <w:top w:val="single" w:sz="4" w:space="0" w:color="auto"/>
              <w:bottom w:val="single" w:sz="4" w:space="0" w:color="auto"/>
            </w:tcBorders>
            <w:tcMar>
              <w:top w:w="180" w:type="dxa"/>
              <w:left w:w="180" w:type="dxa"/>
              <w:bottom w:w="180" w:type="dxa"/>
              <w:right w:w="180" w:type="dxa"/>
            </w:tcMar>
          </w:tcPr>
          <w:p w14:paraId="5910A510"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Dosage schedule</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tcMar>
              <w:top w:w="180" w:type="dxa"/>
              <w:left w:w="180" w:type="dxa"/>
              <w:bottom w:w="180" w:type="dxa"/>
              <w:right w:w="180" w:type="dxa"/>
            </w:tcMar>
          </w:tcPr>
          <w:p w14:paraId="6E993A2A" w14:textId="77777777" w:rsidR="002D6BB9" w:rsidRPr="007622BF" w:rsidRDefault="00000000" w:rsidP="004A46AB">
            <w:pPr>
              <w:widowControl w:val="0"/>
              <w:spacing w:after="0" w:line="240" w:lineRule="auto"/>
              <w:rPr>
                <w:rFonts w:ascii="BentonSans Book" w:hAnsi="BentonSans Book"/>
                <w:sz w:val="20"/>
                <w:szCs w:val="18"/>
              </w:rPr>
            </w:pPr>
            <w:r w:rsidRPr="007622BF">
              <w:rPr>
                <w:rFonts w:ascii="BentonSans Book" w:eastAsia="Canva Sans" w:hAnsi="BentonSans Book" w:cs="Canva Sans"/>
                <w:color w:val="000000"/>
                <w:sz w:val="20"/>
                <w:szCs w:val="18"/>
              </w:rPr>
              <w:t xml:space="preserve">Frequent dosing throughout the day, mid-day doses, doses scheduled at busy times for family </w:t>
            </w:r>
          </w:p>
        </w:tc>
      </w:tr>
      <w:tr w:rsidR="002D6BB9" w:rsidRPr="007622BF" w14:paraId="566979CA" w14:textId="77777777" w:rsidTr="00E26DD2">
        <w:tc>
          <w:tcPr>
            <w:tcW w:w="2970" w:type="dxa"/>
            <w:tcBorders>
              <w:top w:val="single" w:sz="4" w:space="0" w:color="auto"/>
              <w:bottom w:val="single" w:sz="4" w:space="0" w:color="auto"/>
            </w:tcBorders>
            <w:tcMar>
              <w:top w:w="180" w:type="dxa"/>
              <w:left w:w="180" w:type="dxa"/>
              <w:bottom w:w="180" w:type="dxa"/>
              <w:right w:w="180" w:type="dxa"/>
            </w:tcMar>
          </w:tcPr>
          <w:p w14:paraId="098E9330"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 xml:space="preserve">Family schedule </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tcMar>
              <w:top w:w="180" w:type="dxa"/>
              <w:left w:w="180" w:type="dxa"/>
              <w:bottom w:w="180" w:type="dxa"/>
              <w:right w:w="180" w:type="dxa"/>
            </w:tcMar>
          </w:tcPr>
          <w:p w14:paraId="3DB1507C" w14:textId="77777777" w:rsidR="002D6BB9" w:rsidRPr="007622BF" w:rsidRDefault="00000000" w:rsidP="004A46AB">
            <w:pPr>
              <w:widowControl w:val="0"/>
              <w:spacing w:after="0" w:line="240" w:lineRule="auto"/>
              <w:rPr>
                <w:rFonts w:ascii="BentonSans Book" w:hAnsi="BentonSans Book"/>
                <w:sz w:val="20"/>
                <w:szCs w:val="18"/>
              </w:rPr>
            </w:pPr>
            <w:r w:rsidRPr="007622BF">
              <w:rPr>
                <w:rFonts w:ascii="BentonSans Book" w:eastAsia="Canva Sans" w:hAnsi="BentonSans Book" w:cs="Canva Sans"/>
                <w:color w:val="000000"/>
                <w:sz w:val="20"/>
                <w:szCs w:val="18"/>
              </w:rPr>
              <w:t xml:space="preserve">Family’s daily schedule is highly varied due to after-school activities or work schedules; child divides time between households </w:t>
            </w:r>
          </w:p>
        </w:tc>
      </w:tr>
      <w:tr w:rsidR="002D6BB9" w:rsidRPr="007622BF" w14:paraId="4A31C03F" w14:textId="77777777" w:rsidTr="00E26DD2">
        <w:tc>
          <w:tcPr>
            <w:tcW w:w="2970" w:type="dxa"/>
            <w:tcBorders>
              <w:top w:val="single" w:sz="4" w:space="0" w:color="auto"/>
              <w:bottom w:val="single" w:sz="4" w:space="0" w:color="auto"/>
            </w:tcBorders>
            <w:tcMar>
              <w:top w:w="180" w:type="dxa"/>
              <w:left w:w="180" w:type="dxa"/>
              <w:bottom w:w="180" w:type="dxa"/>
              <w:right w:w="180" w:type="dxa"/>
            </w:tcMar>
          </w:tcPr>
          <w:p w14:paraId="277224EF"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Difficulty understanding pill bottle</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tcMar>
              <w:top w:w="180" w:type="dxa"/>
              <w:left w:w="180" w:type="dxa"/>
              <w:bottom w:w="180" w:type="dxa"/>
              <w:right w:w="180" w:type="dxa"/>
            </w:tcMar>
          </w:tcPr>
          <w:p w14:paraId="60FFA38A" w14:textId="77777777" w:rsidR="002D6BB9" w:rsidRPr="007622BF" w:rsidRDefault="00000000" w:rsidP="004A46AB">
            <w:pPr>
              <w:widowControl w:val="0"/>
              <w:spacing w:after="0" w:line="240" w:lineRule="auto"/>
              <w:rPr>
                <w:rFonts w:ascii="BentonSans Book" w:hAnsi="BentonSans Book"/>
                <w:sz w:val="20"/>
                <w:szCs w:val="18"/>
              </w:rPr>
            </w:pPr>
            <w:r w:rsidRPr="007622BF">
              <w:rPr>
                <w:rFonts w:ascii="BentonSans Book" w:eastAsia="Canva Sans" w:hAnsi="BentonSans Book" w:cs="Canva Sans"/>
                <w:color w:val="000000"/>
                <w:sz w:val="20"/>
                <w:szCs w:val="18"/>
              </w:rPr>
              <w:t xml:space="preserve">Family doesn’t understand difference between mL and mg; pill bottle is labelled in non-preferred language or in small print </w:t>
            </w:r>
          </w:p>
        </w:tc>
      </w:tr>
      <w:tr w:rsidR="002D6BB9" w:rsidRPr="007622BF" w14:paraId="71A4D1E8" w14:textId="77777777" w:rsidTr="00E26DD2">
        <w:tc>
          <w:tcPr>
            <w:tcW w:w="2970" w:type="dxa"/>
            <w:tcBorders>
              <w:top w:val="single" w:sz="4" w:space="0" w:color="auto"/>
              <w:bottom w:val="single" w:sz="4" w:space="0" w:color="auto"/>
            </w:tcBorders>
            <w:tcMar>
              <w:top w:w="180" w:type="dxa"/>
              <w:left w:w="180" w:type="dxa"/>
              <w:bottom w:w="180" w:type="dxa"/>
              <w:right w:w="180" w:type="dxa"/>
            </w:tcMar>
          </w:tcPr>
          <w:p w14:paraId="71A905ED"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Medication taste</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tcMar>
              <w:top w:w="180" w:type="dxa"/>
              <w:left w:w="180" w:type="dxa"/>
              <w:bottom w:w="180" w:type="dxa"/>
              <w:right w:w="180" w:type="dxa"/>
            </w:tcMar>
          </w:tcPr>
          <w:p w14:paraId="7C555B84" w14:textId="77777777" w:rsidR="002D6BB9" w:rsidRPr="007622BF" w:rsidRDefault="00000000" w:rsidP="004A46AB">
            <w:pPr>
              <w:widowControl w:val="0"/>
              <w:spacing w:after="0" w:line="240" w:lineRule="auto"/>
              <w:rPr>
                <w:rFonts w:ascii="BentonSans Book" w:hAnsi="BentonSans Book"/>
                <w:sz w:val="20"/>
                <w:szCs w:val="18"/>
              </w:rPr>
            </w:pPr>
            <w:r w:rsidRPr="007622BF">
              <w:rPr>
                <w:rFonts w:ascii="BentonSans Book" w:eastAsia="Canva Sans" w:hAnsi="BentonSans Book" w:cs="Canva Sans"/>
                <w:color w:val="000000"/>
                <w:sz w:val="20"/>
                <w:szCs w:val="18"/>
              </w:rPr>
              <w:t xml:space="preserve">Children are reluctant to take unpleasant-tasting liquids, especially if high volumes are required </w:t>
            </w:r>
          </w:p>
        </w:tc>
      </w:tr>
      <w:tr w:rsidR="002D6BB9" w:rsidRPr="007622BF" w14:paraId="13E00AF4" w14:textId="77777777" w:rsidTr="00E26DD2">
        <w:tc>
          <w:tcPr>
            <w:tcW w:w="2970" w:type="dxa"/>
            <w:tcBorders>
              <w:top w:val="single" w:sz="4" w:space="0" w:color="auto"/>
              <w:bottom w:val="single" w:sz="4" w:space="0" w:color="auto"/>
            </w:tcBorders>
            <w:tcMar>
              <w:top w:w="180" w:type="dxa"/>
              <w:left w:w="180" w:type="dxa"/>
              <w:bottom w:w="180" w:type="dxa"/>
              <w:right w:w="180" w:type="dxa"/>
            </w:tcMar>
          </w:tcPr>
          <w:p w14:paraId="5B15B454"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Patient/family belief about medication</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tcMar>
              <w:top w:w="180" w:type="dxa"/>
              <w:left w:w="180" w:type="dxa"/>
              <w:bottom w:w="180" w:type="dxa"/>
              <w:right w:w="180" w:type="dxa"/>
            </w:tcMar>
          </w:tcPr>
          <w:p w14:paraId="6AB3EEE1" w14:textId="77777777" w:rsidR="002D6BB9" w:rsidRPr="007622BF" w:rsidRDefault="00000000" w:rsidP="004A46AB">
            <w:pPr>
              <w:widowControl w:val="0"/>
              <w:spacing w:after="0" w:line="240" w:lineRule="auto"/>
              <w:rPr>
                <w:rFonts w:ascii="BentonSans Book" w:hAnsi="BentonSans Book"/>
                <w:sz w:val="20"/>
                <w:szCs w:val="18"/>
              </w:rPr>
            </w:pPr>
            <w:r w:rsidRPr="007622BF">
              <w:rPr>
                <w:rFonts w:ascii="BentonSans Book" w:eastAsia="Canva Sans" w:hAnsi="BentonSans Book" w:cs="Canva Sans"/>
                <w:color w:val="000000"/>
                <w:sz w:val="20"/>
                <w:szCs w:val="18"/>
              </w:rPr>
              <w:t xml:space="preserve">Family has had a bad experience with this medication. One family member is vocal about opposing use of medication </w:t>
            </w:r>
          </w:p>
        </w:tc>
      </w:tr>
      <w:tr w:rsidR="002D6BB9" w:rsidRPr="007622BF" w14:paraId="02DF1A9F" w14:textId="77777777" w:rsidTr="00E26DD2">
        <w:tc>
          <w:tcPr>
            <w:tcW w:w="2970" w:type="dxa"/>
            <w:tcBorders>
              <w:top w:val="single" w:sz="4" w:space="0" w:color="auto"/>
              <w:bottom w:val="single" w:sz="4" w:space="0" w:color="auto"/>
            </w:tcBorders>
            <w:tcMar>
              <w:top w:w="180" w:type="dxa"/>
              <w:left w:w="180" w:type="dxa"/>
              <w:bottom w:w="180" w:type="dxa"/>
              <w:right w:w="180" w:type="dxa"/>
            </w:tcMar>
          </w:tcPr>
          <w:p w14:paraId="1510E49F"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Taking medication has negative association</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tcMar>
              <w:top w:w="180" w:type="dxa"/>
              <w:left w:w="180" w:type="dxa"/>
              <w:bottom w:w="180" w:type="dxa"/>
              <w:right w:w="180" w:type="dxa"/>
            </w:tcMar>
          </w:tcPr>
          <w:p w14:paraId="441F6128" w14:textId="77777777" w:rsidR="002D6BB9" w:rsidRPr="007622BF" w:rsidRDefault="00000000" w:rsidP="004A46AB">
            <w:pPr>
              <w:widowControl w:val="0"/>
              <w:spacing w:after="0" w:line="240" w:lineRule="auto"/>
              <w:rPr>
                <w:rFonts w:ascii="BentonSans Book" w:hAnsi="BentonSans Book"/>
                <w:sz w:val="20"/>
                <w:szCs w:val="18"/>
              </w:rPr>
            </w:pPr>
            <w:r w:rsidRPr="007622BF">
              <w:rPr>
                <w:rFonts w:ascii="BentonSans Book" w:eastAsia="Canva Sans" w:hAnsi="BentonSans Book" w:cs="Canva Sans"/>
                <w:color w:val="000000"/>
                <w:sz w:val="20"/>
                <w:szCs w:val="18"/>
              </w:rPr>
              <w:t xml:space="preserve">Patient or family may associate medication with being sick or “bad”, not with becoming well </w:t>
            </w:r>
          </w:p>
        </w:tc>
      </w:tr>
      <w:tr w:rsidR="002D6BB9" w:rsidRPr="007622BF" w14:paraId="2565E3A7" w14:textId="77777777" w:rsidTr="00E26DD2">
        <w:tc>
          <w:tcPr>
            <w:tcW w:w="2970" w:type="dxa"/>
            <w:tcBorders>
              <w:top w:val="single" w:sz="4" w:space="0" w:color="auto"/>
              <w:bottom w:val="single" w:sz="4" w:space="0" w:color="auto"/>
            </w:tcBorders>
            <w:tcMar>
              <w:top w:w="180" w:type="dxa"/>
              <w:left w:w="180" w:type="dxa"/>
              <w:bottom w:w="180" w:type="dxa"/>
              <w:right w:w="180" w:type="dxa"/>
            </w:tcMar>
          </w:tcPr>
          <w:p w14:paraId="440CE621"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Adolescent desire for autonomy</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tcMar>
              <w:top w:w="180" w:type="dxa"/>
              <w:left w:w="180" w:type="dxa"/>
              <w:bottom w:w="180" w:type="dxa"/>
              <w:right w:w="180" w:type="dxa"/>
            </w:tcMar>
          </w:tcPr>
          <w:p w14:paraId="3DE56BD0" w14:textId="77777777" w:rsidR="002D6BB9" w:rsidRPr="007622BF" w:rsidRDefault="00000000" w:rsidP="004A46AB">
            <w:pPr>
              <w:widowControl w:val="0"/>
              <w:spacing w:after="0" w:line="240" w:lineRule="auto"/>
              <w:rPr>
                <w:rFonts w:ascii="BentonSans Book" w:hAnsi="BentonSans Book"/>
                <w:sz w:val="20"/>
                <w:szCs w:val="18"/>
              </w:rPr>
            </w:pPr>
            <w:r w:rsidRPr="007622BF">
              <w:rPr>
                <w:rFonts w:ascii="BentonSans Book" w:eastAsia="Canva Sans" w:hAnsi="BentonSans Book" w:cs="Canva Sans"/>
                <w:color w:val="000000"/>
                <w:sz w:val="20"/>
                <w:szCs w:val="18"/>
              </w:rPr>
              <w:t xml:space="preserve">Teens may feel more powerful if choosing against medication, may feel negative outcomes don’t affect them, or may not take medication due to concern about peer judgment </w:t>
            </w:r>
          </w:p>
        </w:tc>
      </w:tr>
      <w:tr w:rsidR="002D6BB9" w:rsidRPr="007622BF" w14:paraId="1F850796" w14:textId="77777777" w:rsidTr="00E26DD2">
        <w:tc>
          <w:tcPr>
            <w:tcW w:w="2970" w:type="dxa"/>
            <w:tcBorders>
              <w:top w:val="single" w:sz="4" w:space="0" w:color="auto"/>
              <w:bottom w:val="single" w:sz="4" w:space="0" w:color="auto"/>
            </w:tcBorders>
            <w:tcMar>
              <w:top w:w="180" w:type="dxa"/>
              <w:left w:w="180" w:type="dxa"/>
              <w:bottom w:w="180" w:type="dxa"/>
              <w:right w:w="180" w:type="dxa"/>
            </w:tcMar>
          </w:tcPr>
          <w:p w14:paraId="50DB5662"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lastRenderedPageBreak/>
              <w:t>Household stress</w:t>
            </w:r>
            <w:r w:rsidRPr="007622BF">
              <w:rPr>
                <w:rFonts w:ascii="BentonSans Medium" w:eastAsia="Canva Sans" w:hAnsi="BentonSans Medium" w:cs="Canva Sans"/>
                <w:color w:val="000000"/>
                <w:sz w:val="20"/>
                <w:szCs w:val="18"/>
              </w:rPr>
              <w:t xml:space="preserve"> </w:t>
            </w:r>
          </w:p>
        </w:tc>
        <w:tc>
          <w:tcPr>
            <w:tcW w:w="7740" w:type="dxa"/>
            <w:tcBorders>
              <w:top w:val="single" w:sz="4" w:space="0" w:color="auto"/>
              <w:bottom w:val="single" w:sz="4" w:space="0" w:color="auto"/>
            </w:tcBorders>
            <w:tcMar>
              <w:top w:w="180" w:type="dxa"/>
              <w:left w:w="180" w:type="dxa"/>
              <w:bottom w:w="180" w:type="dxa"/>
              <w:right w:w="180" w:type="dxa"/>
            </w:tcMar>
          </w:tcPr>
          <w:p w14:paraId="098DC9D8" w14:textId="77777777" w:rsidR="002D6BB9" w:rsidRPr="007622BF" w:rsidRDefault="00000000" w:rsidP="004A46AB">
            <w:pPr>
              <w:widowControl w:val="0"/>
              <w:spacing w:after="0" w:line="240" w:lineRule="auto"/>
              <w:rPr>
                <w:rFonts w:ascii="BentonSans Book" w:hAnsi="BentonSans Book"/>
                <w:sz w:val="20"/>
                <w:szCs w:val="18"/>
              </w:rPr>
            </w:pPr>
            <w:r w:rsidRPr="007622BF">
              <w:rPr>
                <w:rFonts w:ascii="BentonSans Book" w:eastAsia="Canva Sans" w:hAnsi="BentonSans Book" w:cs="Canva Sans"/>
                <w:color w:val="000000"/>
                <w:sz w:val="20"/>
                <w:szCs w:val="18"/>
              </w:rPr>
              <w:t xml:space="preserve">Caregiver with mental illness, low number of adults in household and high number of children, family conflict, family denial of illness </w:t>
            </w:r>
          </w:p>
        </w:tc>
      </w:tr>
    </w:tbl>
    <w:p w14:paraId="7583AFC6" w14:textId="00FE88D6" w:rsidR="00E26DD2" w:rsidRPr="00E26DD2" w:rsidRDefault="007622BF" w:rsidP="00E26DD2">
      <w:pPr>
        <w:widowControl w:val="0"/>
        <w:spacing w:after="0" w:line="240" w:lineRule="auto"/>
        <w:jc w:val="center"/>
        <w:rPr>
          <w:rFonts w:ascii="BentonSans Medium" w:hAnsi="BentonSans Medium"/>
        </w:rPr>
      </w:pPr>
      <w:r w:rsidRPr="00E26DD2">
        <w:rPr>
          <w:rFonts w:ascii="BentonSans Medium" w:eastAsia="Canva Sans Bold" w:hAnsi="BentonSans Medium" w:cs="Canva Sans Bold"/>
          <w:color w:val="000000"/>
          <w:sz w:val="28"/>
          <w:szCs w:val="28"/>
        </w:rPr>
        <w:br/>
        <w:t>Strategies to Improve Adherence</w:t>
      </w:r>
    </w:p>
    <w:p w14:paraId="616F6F4B" w14:textId="0F316887" w:rsidR="002D6BB9" w:rsidRPr="007622BF" w:rsidRDefault="007622BF" w:rsidP="00E26DD2">
      <w:pPr>
        <w:widowControl w:val="0"/>
        <w:spacing w:after="0" w:line="240" w:lineRule="auto"/>
        <w:rPr>
          <w:rFonts w:ascii="BentonSans Medium" w:hAnsi="BentonSans Medium"/>
          <w:sz w:val="22"/>
          <w:szCs w:val="22"/>
        </w:rPr>
      </w:pPr>
      <w:r w:rsidRPr="007622BF">
        <w:rPr>
          <w:rFonts w:ascii="BentonSans Medium" w:eastAsia="Canva Sans Bold" w:hAnsi="BentonSans Medium" w:cs="Canva Sans Bold"/>
          <w:color w:val="000000"/>
          <w:szCs w:val="26"/>
        </w:rPr>
        <w:t xml:space="preserve">At the First Visit </w:t>
      </w:r>
      <w:r>
        <w:rPr>
          <w:rFonts w:ascii="BentonSans Medium" w:eastAsia="Canva Sans Bold" w:hAnsi="BentonSans Medium" w:cs="Canva Sans Bold"/>
          <w:color w:val="000000"/>
          <w:szCs w:val="26"/>
        </w:rPr>
        <w:br/>
      </w:r>
    </w:p>
    <w:p w14:paraId="0B0D84C3" w14:textId="3574822D" w:rsidR="002D6BB9" w:rsidRPr="004A46AB" w:rsidRDefault="00000000" w:rsidP="004A46AB">
      <w:pPr>
        <w:widowControl w:val="0"/>
        <w:numPr>
          <w:ilvl w:val="0"/>
          <w:numId w:val="1"/>
        </w:numPr>
        <w:spacing w:after="0" w:line="240" w:lineRule="auto"/>
        <w:rPr>
          <w:sz w:val="21"/>
          <w:szCs w:val="21"/>
        </w:rPr>
      </w:pPr>
      <w:r w:rsidRPr="007622BF">
        <w:rPr>
          <w:rFonts w:ascii="BentonSans Regular" w:eastAsia="Canva Sans Bold" w:hAnsi="BentonSans Regular" w:cs="Canva Sans Bold"/>
          <w:b/>
          <w:bCs/>
          <w:color w:val="000000"/>
          <w:sz w:val="22"/>
          <w:szCs w:val="22"/>
        </w:rPr>
        <w:t xml:space="preserve">Assess current adherence and potential adherence barriers. </w:t>
      </w:r>
      <w:r w:rsidRPr="007622BF">
        <w:rPr>
          <w:rFonts w:ascii="MS Mincho" w:eastAsia="MS Mincho" w:hAnsi="MS Mincho" w:cs="MS Mincho" w:hint="eastAsia"/>
          <w:b/>
          <w:bCs/>
          <w:color w:val="000000"/>
          <w:sz w:val="22"/>
          <w:szCs w:val="22"/>
        </w:rPr>
        <w:t> </w:t>
      </w:r>
      <w:r w:rsidRPr="007622BF">
        <w:rPr>
          <w:rFonts w:ascii="BentonSans Book" w:eastAsia="Canva Sans" w:hAnsi="BentonSans Book" w:cs="Canva Sans"/>
          <w:color w:val="000000"/>
          <w:sz w:val="22"/>
          <w:szCs w:val="22"/>
        </w:rPr>
        <w:t xml:space="preserve">Even before </w:t>
      </w:r>
      <w:r w:rsidRPr="004A46AB">
        <w:rPr>
          <w:rFonts w:ascii="BentonSans Book" w:eastAsia="Canva Sans" w:hAnsi="BentonSans Book" w:cs="Canva Sans"/>
          <w:color w:val="000000"/>
          <w:sz w:val="21"/>
          <w:szCs w:val="21"/>
        </w:rPr>
        <w:t xml:space="preserve">recommending a medication, establish that adherence is an important topic to discuss at office visits. Ask new patients about medication history, encouraging the patient and family to describe how they feel about the medication in use. It can be suggested that many people find it hard to take their medication regularly, and that it would be helpful to learn their opinion about the current medications. Is the medication helpful? Have there been adverse effects? Is the dosage schedule working, or is it hard to remember to take the medication? How many doses have been missed in a typical week? Is the medication cost or travelling to the pharmacy a problem? What medications were discontinued previously, and what led to discontinuation? Does the patient feel that they are sensitive to medication and want a slower medication titration? How does the family feel about the patient taking medication? Is the patient interested in taking medication now? </w:t>
      </w:r>
      <w:r w:rsidRPr="004A46AB">
        <w:rPr>
          <w:rFonts w:ascii="MS Mincho" w:eastAsia="MS Mincho" w:hAnsi="MS Mincho" w:cs="MS Mincho" w:hint="eastAsia"/>
          <w:color w:val="000000"/>
          <w:sz w:val="21"/>
          <w:szCs w:val="21"/>
        </w:rPr>
        <w:t> </w:t>
      </w:r>
      <w:r w:rsidRPr="004A46AB">
        <w:rPr>
          <w:rFonts w:ascii="BentonSans Book" w:eastAsia="Canva Sans" w:hAnsi="BentonSans Book" w:cs="Canva Sans"/>
          <w:color w:val="000000"/>
          <w:sz w:val="21"/>
          <w:szCs w:val="21"/>
        </w:rPr>
        <w:br/>
      </w:r>
      <w:r w:rsidRPr="004A46AB">
        <w:rPr>
          <w:rFonts w:ascii="Canva Sans Italics" w:eastAsia="Canva Sans Italics" w:hAnsi="Canva Sans Italics" w:cs="Canva Sans Italics"/>
          <w:i/>
          <w:iCs/>
          <w:color w:val="000000"/>
          <w:sz w:val="21"/>
          <w:szCs w:val="21"/>
        </w:rPr>
        <w:t xml:space="preserve"> </w:t>
      </w:r>
    </w:p>
    <w:p w14:paraId="20AAF1A0" w14:textId="2AB9D030" w:rsidR="002D6BB9" w:rsidRPr="004A46AB" w:rsidRDefault="00000000" w:rsidP="004A46AB">
      <w:pPr>
        <w:widowControl w:val="0"/>
        <w:numPr>
          <w:ilvl w:val="0"/>
          <w:numId w:val="1"/>
        </w:numPr>
        <w:spacing w:after="0" w:line="240" w:lineRule="auto"/>
        <w:rPr>
          <w:sz w:val="21"/>
          <w:szCs w:val="21"/>
        </w:rPr>
      </w:pPr>
      <w:r w:rsidRPr="004A46AB">
        <w:rPr>
          <w:rFonts w:ascii="BentonSans Regular" w:eastAsia="Canva Sans Bold" w:hAnsi="BentonSans Regular" w:cs="Canva Sans Bold"/>
          <w:b/>
          <w:bCs/>
          <w:color w:val="000000"/>
          <w:sz w:val="21"/>
          <w:szCs w:val="21"/>
        </w:rPr>
        <w:t xml:space="preserve">Explain adherence needed with new prescriptions and provide a safe space to discuss adherence problems. </w:t>
      </w:r>
      <w:r w:rsidRPr="004A46AB">
        <w:rPr>
          <w:rFonts w:ascii="MS Mincho" w:eastAsia="MS Mincho" w:hAnsi="MS Mincho" w:cs="MS Mincho" w:hint="eastAsia"/>
          <w:b/>
          <w:bCs/>
          <w:color w:val="000000"/>
          <w:sz w:val="21"/>
          <w:szCs w:val="21"/>
        </w:rPr>
        <w:t> </w:t>
      </w:r>
      <w:r w:rsidRPr="004A46AB">
        <w:rPr>
          <w:rFonts w:ascii="BentonSans Book" w:eastAsia="Canva Sans" w:hAnsi="BentonSans Book" w:cs="Canva Sans"/>
          <w:color w:val="000000"/>
          <w:sz w:val="21"/>
          <w:szCs w:val="21"/>
        </w:rPr>
        <w:t xml:space="preserve">If a decision is made to start a medication, express optimism that treatment will work. When there is a choice between medications, briefly and confidently discuss pros and cons about the options. Identify any adherence barriers each option may pose for the family. “I hear this one is pricey – you might want to think about </w:t>
      </w:r>
      <w:proofErr w:type="spellStart"/>
      <w:r w:rsidRPr="004A46AB">
        <w:rPr>
          <w:rFonts w:ascii="BentonSans Book" w:eastAsia="Canva Sans" w:hAnsi="BentonSans Book" w:cs="Canva Sans"/>
          <w:color w:val="000000"/>
          <w:sz w:val="21"/>
          <w:szCs w:val="21"/>
        </w:rPr>
        <w:t>GoodRx</w:t>
      </w:r>
      <w:proofErr w:type="spellEnd"/>
      <w:r w:rsidRPr="004A46AB">
        <w:rPr>
          <w:rFonts w:ascii="BentonSans Book" w:eastAsia="Canva Sans" w:hAnsi="BentonSans Book" w:cs="Canva Sans"/>
          <w:color w:val="000000"/>
          <w:sz w:val="21"/>
          <w:szCs w:val="21"/>
        </w:rPr>
        <w:t xml:space="preserve"> and checking prices at a few pharmacies to find the best deal.” “This one is pretty bitter, so I would think about a Popsicle first or a chocolate pudding chaser”. “This one has to be taken 3 times a day – will a lunch-time dose work for your schedule?” Once a medication is selected, build an expectation that the medication will not work immediately and must be taken for an adequate time. Tell the patient when to expect results and how long the medication typically should be continued. Patients might expect to be done with a prescription in two weeks if their only medication experience has been taking antibiotics. They may believe psychiatric medications can be skipped on non-school days if they have taken only stimulants. Remind the patient that medication works best if taken every day. Ask them to note any missed doses and to let you know if they decide not to start the medication. S.C. Shea (see references below) has great suggestions about how to word adherence questions. He sets the stage for future adherence discussions at the first visit, asking patients “Can you promise to let me know of any missed doses? We’ll see what we can come up with to make sure it is easier to remember”. </w:t>
      </w:r>
      <w:r w:rsidRPr="004A46AB">
        <w:rPr>
          <w:rFonts w:ascii="MS Mincho" w:eastAsia="MS Mincho" w:hAnsi="MS Mincho" w:cs="MS Mincho" w:hint="eastAsia"/>
          <w:color w:val="000000"/>
          <w:sz w:val="21"/>
          <w:szCs w:val="21"/>
        </w:rPr>
        <w:t> </w:t>
      </w:r>
      <w:r w:rsidRPr="004A46AB">
        <w:rPr>
          <w:rFonts w:ascii="Canva Sans" w:eastAsia="Canva Sans" w:hAnsi="Canva Sans" w:cs="Canva Sans"/>
          <w:color w:val="000000"/>
          <w:sz w:val="21"/>
          <w:szCs w:val="21"/>
        </w:rPr>
        <w:br/>
        <w:t xml:space="preserve"> </w:t>
      </w:r>
    </w:p>
    <w:p w14:paraId="59045739" w14:textId="2564E534" w:rsidR="002D6BB9" w:rsidRPr="004A46AB" w:rsidRDefault="00000000" w:rsidP="004A46AB">
      <w:pPr>
        <w:widowControl w:val="0"/>
        <w:numPr>
          <w:ilvl w:val="0"/>
          <w:numId w:val="1"/>
        </w:numPr>
        <w:spacing w:after="0" w:line="240" w:lineRule="auto"/>
        <w:rPr>
          <w:sz w:val="21"/>
          <w:szCs w:val="21"/>
        </w:rPr>
      </w:pPr>
      <w:r w:rsidRPr="004A46AB">
        <w:rPr>
          <w:rFonts w:ascii="BentonSans Regular" w:eastAsia="Canva Sans Bold" w:hAnsi="BentonSans Regular" w:cs="Canva Sans Bold"/>
          <w:b/>
          <w:bCs/>
          <w:color w:val="000000"/>
          <w:sz w:val="21"/>
          <w:szCs w:val="21"/>
        </w:rPr>
        <w:t xml:space="preserve">Help the patient remember the plan. </w:t>
      </w:r>
      <w:r w:rsidRPr="004A46AB">
        <w:rPr>
          <w:rFonts w:ascii="MS Mincho" w:eastAsia="MS Mincho" w:hAnsi="MS Mincho" w:cs="MS Mincho" w:hint="eastAsia"/>
          <w:b/>
          <w:bCs/>
          <w:color w:val="000000"/>
          <w:sz w:val="21"/>
          <w:szCs w:val="21"/>
        </w:rPr>
        <w:t> </w:t>
      </w:r>
      <w:r w:rsidRPr="004A46AB">
        <w:rPr>
          <w:rFonts w:ascii="BentonSans Book" w:eastAsia="Canva Sans" w:hAnsi="BentonSans Book" w:cs="Canva Sans"/>
          <w:color w:val="000000"/>
          <w:sz w:val="21"/>
          <w:szCs w:val="21"/>
        </w:rPr>
        <w:t xml:space="preserve">It is hard for patients to remember all the information presented to them at a healthcare visit, especially at a first visit. People remember more of the information presented early in the visit. Ask the patient to verbalize the plan back to you. Provide titration schedules and medication handouts to enhance recall. Good medication handouts anticipate common side effects and offer helpful suggestions, and direct patients to call the provider should serious sequelae ensure. Ensure that the patient has the clinic phone number or portal access. </w:t>
      </w:r>
      <w:r w:rsidRPr="004A46AB">
        <w:rPr>
          <w:rFonts w:ascii="MS Mincho" w:eastAsia="MS Mincho" w:hAnsi="MS Mincho" w:cs="MS Mincho" w:hint="eastAsia"/>
          <w:color w:val="000000"/>
          <w:sz w:val="21"/>
          <w:szCs w:val="21"/>
        </w:rPr>
        <w:t> </w:t>
      </w:r>
      <w:r w:rsidRPr="004A46AB">
        <w:rPr>
          <w:rFonts w:ascii="Canva Sans" w:eastAsia="Canva Sans" w:hAnsi="Canva Sans" w:cs="Canva Sans"/>
          <w:color w:val="000000"/>
          <w:sz w:val="21"/>
          <w:szCs w:val="21"/>
        </w:rPr>
        <w:br/>
        <w:t xml:space="preserve"> </w:t>
      </w:r>
    </w:p>
    <w:p w14:paraId="16930638" w14:textId="5A8B19AD" w:rsidR="002D6BB9" w:rsidRPr="004A46AB" w:rsidRDefault="00000000" w:rsidP="004A46AB">
      <w:pPr>
        <w:widowControl w:val="0"/>
        <w:numPr>
          <w:ilvl w:val="0"/>
          <w:numId w:val="1"/>
        </w:numPr>
        <w:spacing w:after="0" w:line="240" w:lineRule="auto"/>
        <w:rPr>
          <w:sz w:val="21"/>
          <w:szCs w:val="21"/>
        </w:rPr>
      </w:pPr>
      <w:r w:rsidRPr="004A46AB">
        <w:rPr>
          <w:rFonts w:ascii="BentonSans Regular" w:eastAsia="Canva Sans Bold" w:hAnsi="BentonSans Regular" w:cs="Canva Sans Bold"/>
          <w:b/>
          <w:bCs/>
          <w:color w:val="000000"/>
          <w:sz w:val="21"/>
          <w:szCs w:val="21"/>
        </w:rPr>
        <w:t xml:space="preserve">Discuss safe administration and storage of medication. </w:t>
      </w:r>
      <w:r w:rsidRPr="004A46AB">
        <w:rPr>
          <w:rFonts w:ascii="MS Mincho" w:eastAsia="MS Mincho" w:hAnsi="MS Mincho" w:cs="MS Mincho" w:hint="eastAsia"/>
          <w:b/>
          <w:bCs/>
          <w:color w:val="000000"/>
          <w:sz w:val="21"/>
          <w:szCs w:val="21"/>
        </w:rPr>
        <w:t> </w:t>
      </w:r>
      <w:r w:rsidRPr="004A46AB">
        <w:rPr>
          <w:rFonts w:ascii="BentonSans Book" w:eastAsia="Canva Sans" w:hAnsi="BentonSans Book" w:cs="Canva Sans"/>
          <w:color w:val="000000"/>
          <w:sz w:val="21"/>
          <w:szCs w:val="21"/>
        </w:rPr>
        <w:t xml:space="preserve">Remembering to take medicine every day is a challenge for adults and is even more difficult for children or teens with psychiatric disorders. Advise families that keeping all medications locked up, and having a responsible adult administer them, is the safest approach. This is especially important for medications that are toxic in overdose (including alpha-2 agonists such as clonidine and tricyclic antidepressants such as amitriptyline). Serious ingestions are more common when toddlers or suicidal individuals are in the home. If older teens are administering their own medications, remind their parents to check in several times a week to ensure that doses are taken regularly. Many families would like their teens to become skilled at medication self-administration before they leave for college. Advise that transition should be gradual and highly supervised. Recommend, for instance, that teens start with a one-week pill minder box of pills and daily parental check-ins. </w:t>
      </w:r>
      <w:r w:rsidRPr="004A46AB">
        <w:rPr>
          <w:rFonts w:ascii="MS Mincho" w:eastAsia="MS Mincho" w:hAnsi="MS Mincho" w:cs="MS Mincho" w:hint="eastAsia"/>
          <w:color w:val="000000"/>
          <w:sz w:val="21"/>
          <w:szCs w:val="21"/>
        </w:rPr>
        <w:t> </w:t>
      </w:r>
      <w:r w:rsidRPr="004A46AB">
        <w:rPr>
          <w:rFonts w:ascii="Canva Sans" w:eastAsia="Canva Sans" w:hAnsi="Canva Sans" w:cs="Canva Sans"/>
          <w:color w:val="000000"/>
          <w:sz w:val="21"/>
          <w:szCs w:val="21"/>
        </w:rPr>
        <w:br/>
        <w:t xml:space="preserve"> </w:t>
      </w:r>
    </w:p>
    <w:p w14:paraId="51D85E10" w14:textId="0935D51A" w:rsidR="002D6BB9" w:rsidRPr="00E26DD2" w:rsidRDefault="00000000" w:rsidP="004A46AB">
      <w:pPr>
        <w:widowControl w:val="0"/>
        <w:numPr>
          <w:ilvl w:val="0"/>
          <w:numId w:val="1"/>
        </w:numPr>
        <w:spacing w:after="0" w:line="240" w:lineRule="auto"/>
        <w:rPr>
          <w:sz w:val="22"/>
          <w:szCs w:val="22"/>
        </w:rPr>
      </w:pPr>
      <w:r w:rsidRPr="004A46AB">
        <w:rPr>
          <w:rFonts w:ascii="BentonSans Regular" w:eastAsia="Canva Sans Bold" w:hAnsi="BentonSans Regular" w:cs="Canva Sans Bold"/>
          <w:b/>
          <w:bCs/>
          <w:color w:val="000000"/>
          <w:sz w:val="21"/>
          <w:szCs w:val="21"/>
        </w:rPr>
        <w:lastRenderedPageBreak/>
        <w:t xml:space="preserve">Provide a pause if patient is reluctant to start medication. </w:t>
      </w:r>
      <w:r w:rsidRPr="004A46AB">
        <w:rPr>
          <w:rFonts w:ascii="MS Mincho" w:eastAsia="MS Mincho" w:hAnsi="MS Mincho" w:cs="MS Mincho" w:hint="eastAsia"/>
          <w:b/>
          <w:bCs/>
          <w:color w:val="000000"/>
          <w:sz w:val="21"/>
          <w:szCs w:val="21"/>
        </w:rPr>
        <w:t> </w:t>
      </w:r>
      <w:r w:rsidRPr="004A46AB">
        <w:rPr>
          <w:rFonts w:ascii="BentonSans Book" w:eastAsia="Canva Sans" w:hAnsi="BentonSans Book" w:cs="Canva Sans"/>
          <w:color w:val="000000"/>
          <w:sz w:val="21"/>
          <w:szCs w:val="21"/>
        </w:rPr>
        <w:t>Monitor for nonverbal cues or statements that indicate a patient or family is not ready to initiate medication treatment. Ask directly about any barriers or concerns if you sense reluctance. Table 2 describes strategies that can help many patients. Giving a time-out can be quite helpful. Send the family home with a medication handout, advise them to consult reliable websites, and tell them they are wise to give this decision some time. If the patient is trying to decide about taking one medication, send that prescription to the pharmacy, and instruct the patient not to pick it up unless they decide they are ready to take the medication. If a medication choice is available, ask the patient to return in a few weeks to discuss the choice, or to call the nursing team once a choice is made.</w:t>
      </w:r>
      <w:r w:rsidRPr="004A46AB">
        <w:rPr>
          <w:rFonts w:ascii="Canva Sans Bold" w:eastAsia="Canva Sans Bold" w:hAnsi="Canva Sans Bold" w:cs="Canva Sans Bold"/>
          <w:b/>
          <w:bCs/>
          <w:color w:val="000000"/>
          <w:sz w:val="21"/>
          <w:szCs w:val="21"/>
        </w:rPr>
        <w:t xml:space="preserve">  </w:t>
      </w:r>
      <w:r w:rsidR="007622BF" w:rsidRPr="004A46AB">
        <w:rPr>
          <w:rFonts w:ascii="Canva Sans Bold" w:eastAsia="Canva Sans Bold" w:hAnsi="Canva Sans Bold" w:cs="Canva Sans Bold"/>
          <w:b/>
          <w:bCs/>
          <w:color w:val="000000"/>
          <w:sz w:val="21"/>
          <w:szCs w:val="21"/>
        </w:rPr>
        <w:br/>
      </w:r>
      <w:r w:rsidR="004A46AB" w:rsidRPr="00E26DD2">
        <w:rPr>
          <w:rFonts w:ascii="BentonSans Medium" w:eastAsia="Canva Sans Bold" w:hAnsi="BentonSans Medium" w:cs="Canva Sans Bold"/>
          <w:color w:val="000000"/>
          <w:szCs w:val="26"/>
        </w:rPr>
        <w:br/>
        <w:t xml:space="preserve">Table 2. Barriers to starting medication </w:t>
      </w:r>
      <w:r w:rsidR="007622BF" w:rsidRPr="00E26DD2">
        <w:rPr>
          <w:rFonts w:ascii="BentonSans Medium" w:eastAsia="Canva Sans Bold" w:hAnsi="BentonSans Medium" w:cs="Canva Sans Bold"/>
          <w:color w:val="000000"/>
          <w:szCs w:val="26"/>
        </w:rPr>
        <w:br/>
      </w:r>
    </w:p>
    <w:tbl>
      <w:tblPr>
        <w:tblW w:w="1053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3510"/>
        <w:gridCol w:w="7020"/>
      </w:tblGrid>
      <w:tr w:rsidR="002D6BB9" w:rsidRPr="007622BF" w14:paraId="1FD29C4A" w14:textId="77777777" w:rsidTr="00E26DD2">
        <w:tc>
          <w:tcPr>
            <w:tcW w:w="3510" w:type="dxa"/>
            <w:tcBorders>
              <w:top w:val="single" w:sz="4" w:space="0" w:color="auto"/>
              <w:bottom w:val="single" w:sz="4" w:space="0" w:color="auto"/>
            </w:tcBorders>
            <w:shd w:val="clear" w:color="auto" w:fill="C1E4F5" w:themeFill="accent1" w:themeFillTint="33"/>
            <w:tcMar>
              <w:top w:w="180" w:type="dxa"/>
              <w:left w:w="180" w:type="dxa"/>
              <w:bottom w:w="180" w:type="dxa"/>
              <w:right w:w="180" w:type="dxa"/>
            </w:tcMar>
          </w:tcPr>
          <w:p w14:paraId="749D7B61"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Barrier</w:t>
            </w:r>
            <w:r w:rsidRPr="007622BF">
              <w:rPr>
                <w:rFonts w:ascii="BentonSans Medium" w:eastAsia="Canva Sans" w:hAnsi="BentonSans Medium" w:cs="Canva Sans"/>
                <w:color w:val="000000"/>
                <w:sz w:val="20"/>
                <w:szCs w:val="18"/>
              </w:rPr>
              <w:t xml:space="preserve"> </w:t>
            </w:r>
          </w:p>
        </w:tc>
        <w:tc>
          <w:tcPr>
            <w:tcW w:w="7020" w:type="dxa"/>
            <w:tcBorders>
              <w:top w:val="single" w:sz="4" w:space="0" w:color="auto"/>
              <w:bottom w:val="single" w:sz="4" w:space="0" w:color="auto"/>
            </w:tcBorders>
            <w:shd w:val="clear" w:color="auto" w:fill="C1E4F5" w:themeFill="accent1" w:themeFillTint="33"/>
            <w:tcMar>
              <w:top w:w="180" w:type="dxa"/>
              <w:left w:w="180" w:type="dxa"/>
              <w:bottom w:w="180" w:type="dxa"/>
              <w:right w:w="180" w:type="dxa"/>
            </w:tcMar>
          </w:tcPr>
          <w:p w14:paraId="589323D6"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Strategies that can help</w:t>
            </w:r>
            <w:r w:rsidRPr="007622BF">
              <w:rPr>
                <w:rFonts w:ascii="BentonSans Medium" w:eastAsia="Canva Sans" w:hAnsi="BentonSans Medium" w:cs="Canva Sans"/>
                <w:color w:val="000000"/>
                <w:sz w:val="20"/>
                <w:szCs w:val="18"/>
              </w:rPr>
              <w:t xml:space="preserve"> </w:t>
            </w:r>
          </w:p>
        </w:tc>
      </w:tr>
      <w:tr w:rsidR="002D6BB9" w:rsidRPr="007622BF" w14:paraId="6C137F8D" w14:textId="77777777" w:rsidTr="00E26DD2">
        <w:tc>
          <w:tcPr>
            <w:tcW w:w="3510" w:type="dxa"/>
            <w:tcBorders>
              <w:top w:val="single" w:sz="4" w:space="0" w:color="auto"/>
              <w:bottom w:val="single" w:sz="4" w:space="0" w:color="auto"/>
            </w:tcBorders>
            <w:tcMar>
              <w:top w:w="180" w:type="dxa"/>
              <w:left w:w="180" w:type="dxa"/>
              <w:bottom w:w="180" w:type="dxa"/>
              <w:right w:w="180" w:type="dxa"/>
            </w:tcMar>
          </w:tcPr>
          <w:p w14:paraId="6DC28AA9"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Low motivation to start a medication</w:t>
            </w:r>
            <w:r w:rsidRPr="007622BF">
              <w:rPr>
                <w:rFonts w:ascii="BentonSans Medium" w:eastAsia="Canva Sans" w:hAnsi="BentonSans Medium" w:cs="Canva Sans"/>
                <w:color w:val="000000"/>
                <w:sz w:val="20"/>
                <w:szCs w:val="18"/>
              </w:rPr>
              <w:t xml:space="preserve"> </w:t>
            </w:r>
          </w:p>
        </w:tc>
        <w:tc>
          <w:tcPr>
            <w:tcW w:w="7020" w:type="dxa"/>
            <w:tcBorders>
              <w:top w:val="single" w:sz="4" w:space="0" w:color="auto"/>
              <w:bottom w:val="single" w:sz="4" w:space="0" w:color="auto"/>
            </w:tcBorders>
            <w:tcMar>
              <w:top w:w="180" w:type="dxa"/>
              <w:left w:w="180" w:type="dxa"/>
              <w:bottom w:w="180" w:type="dxa"/>
              <w:right w:w="180" w:type="dxa"/>
            </w:tcMar>
          </w:tcPr>
          <w:p w14:paraId="5B4E760C" w14:textId="77777777" w:rsidR="002D6BB9" w:rsidRPr="007622BF" w:rsidRDefault="00000000" w:rsidP="004A46AB">
            <w:pPr>
              <w:widowControl w:val="0"/>
              <w:spacing w:after="0" w:line="240" w:lineRule="auto"/>
              <w:rPr>
                <w:rFonts w:ascii="BentonSans Book" w:eastAsia="Canva Sans" w:hAnsi="BentonSans Book" w:cs="Canva Sans"/>
                <w:color w:val="000000"/>
                <w:sz w:val="20"/>
                <w:szCs w:val="18"/>
              </w:rPr>
            </w:pPr>
            <w:r w:rsidRPr="007622BF">
              <w:rPr>
                <w:rFonts w:ascii="BentonSans Book" w:eastAsia="Canva Sans" w:hAnsi="BentonSans Book" w:cs="Canva Sans"/>
                <w:color w:val="000000"/>
                <w:sz w:val="20"/>
                <w:szCs w:val="18"/>
              </w:rPr>
              <w:t xml:space="preserve">Explore if health condition is preventing patient from engaging in preferred activities, use that as motivator (i.e. picture of playing soccer attached to pill bottle) </w:t>
            </w:r>
          </w:p>
        </w:tc>
      </w:tr>
      <w:tr w:rsidR="002D6BB9" w:rsidRPr="007622BF" w14:paraId="3F643C06" w14:textId="77777777" w:rsidTr="00E26DD2">
        <w:tc>
          <w:tcPr>
            <w:tcW w:w="3510" w:type="dxa"/>
            <w:tcBorders>
              <w:top w:val="single" w:sz="4" w:space="0" w:color="auto"/>
              <w:bottom w:val="single" w:sz="4" w:space="0" w:color="auto"/>
            </w:tcBorders>
            <w:tcMar>
              <w:top w:w="180" w:type="dxa"/>
              <w:left w:w="180" w:type="dxa"/>
              <w:bottom w:w="180" w:type="dxa"/>
              <w:right w:w="180" w:type="dxa"/>
            </w:tcMar>
          </w:tcPr>
          <w:p w14:paraId="43113238"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Perceived sensitivity to many medications</w:t>
            </w:r>
            <w:r w:rsidRPr="007622BF">
              <w:rPr>
                <w:rFonts w:ascii="BentonSans Medium" w:eastAsia="Canva Sans" w:hAnsi="BentonSans Medium" w:cs="Canva Sans"/>
                <w:color w:val="000000"/>
                <w:sz w:val="20"/>
                <w:szCs w:val="18"/>
              </w:rPr>
              <w:t xml:space="preserve"> </w:t>
            </w:r>
          </w:p>
        </w:tc>
        <w:tc>
          <w:tcPr>
            <w:tcW w:w="7020" w:type="dxa"/>
            <w:tcBorders>
              <w:top w:val="single" w:sz="4" w:space="0" w:color="auto"/>
              <w:bottom w:val="single" w:sz="4" w:space="0" w:color="auto"/>
            </w:tcBorders>
            <w:tcMar>
              <w:top w:w="180" w:type="dxa"/>
              <w:left w:w="180" w:type="dxa"/>
              <w:bottom w:w="180" w:type="dxa"/>
              <w:right w:w="180" w:type="dxa"/>
            </w:tcMar>
          </w:tcPr>
          <w:p w14:paraId="05C05AB3" w14:textId="77777777" w:rsidR="002D6BB9" w:rsidRPr="007622BF" w:rsidRDefault="00000000" w:rsidP="004A46AB">
            <w:pPr>
              <w:widowControl w:val="0"/>
              <w:spacing w:after="0" w:line="240" w:lineRule="auto"/>
              <w:rPr>
                <w:rFonts w:ascii="BentonSans Book" w:eastAsia="Canva Sans" w:hAnsi="BentonSans Book" w:cs="Canva Sans"/>
                <w:color w:val="000000"/>
                <w:sz w:val="20"/>
                <w:szCs w:val="18"/>
              </w:rPr>
            </w:pPr>
            <w:r w:rsidRPr="007622BF">
              <w:rPr>
                <w:rFonts w:ascii="BentonSans Book" w:eastAsia="Canva Sans" w:hAnsi="BentonSans Book" w:cs="Canva Sans"/>
                <w:color w:val="000000"/>
                <w:sz w:val="20"/>
                <w:szCs w:val="18"/>
              </w:rPr>
              <w:t xml:space="preserve">Acknowledge patient concerns and plan a gradual, slow titration schedule </w:t>
            </w:r>
          </w:p>
        </w:tc>
      </w:tr>
      <w:tr w:rsidR="002D6BB9" w:rsidRPr="007622BF" w14:paraId="189CD7A7" w14:textId="77777777" w:rsidTr="00E26DD2">
        <w:tc>
          <w:tcPr>
            <w:tcW w:w="3510" w:type="dxa"/>
            <w:tcBorders>
              <w:top w:val="single" w:sz="4" w:space="0" w:color="auto"/>
              <w:bottom w:val="single" w:sz="4" w:space="0" w:color="auto"/>
            </w:tcBorders>
            <w:tcMar>
              <w:top w:w="180" w:type="dxa"/>
              <w:left w:w="180" w:type="dxa"/>
              <w:bottom w:w="180" w:type="dxa"/>
              <w:right w:w="180" w:type="dxa"/>
            </w:tcMar>
          </w:tcPr>
          <w:p w14:paraId="035F9876"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Patient/family can’t decide if they wish to start medication</w:t>
            </w:r>
            <w:r w:rsidRPr="007622BF">
              <w:rPr>
                <w:rFonts w:ascii="BentonSans Medium" w:eastAsia="Canva Sans" w:hAnsi="BentonSans Medium" w:cs="Canva Sans"/>
                <w:color w:val="000000"/>
                <w:sz w:val="20"/>
                <w:szCs w:val="18"/>
              </w:rPr>
              <w:t xml:space="preserve"> </w:t>
            </w:r>
          </w:p>
        </w:tc>
        <w:tc>
          <w:tcPr>
            <w:tcW w:w="7020" w:type="dxa"/>
            <w:tcBorders>
              <w:top w:val="single" w:sz="4" w:space="0" w:color="auto"/>
              <w:bottom w:val="single" w:sz="4" w:space="0" w:color="auto"/>
            </w:tcBorders>
            <w:tcMar>
              <w:top w:w="180" w:type="dxa"/>
              <w:left w:w="180" w:type="dxa"/>
              <w:bottom w:w="180" w:type="dxa"/>
              <w:right w:w="180" w:type="dxa"/>
            </w:tcMar>
          </w:tcPr>
          <w:p w14:paraId="05689806" w14:textId="77777777" w:rsidR="002D6BB9" w:rsidRPr="007622BF" w:rsidRDefault="00000000" w:rsidP="004A46AB">
            <w:pPr>
              <w:widowControl w:val="0"/>
              <w:spacing w:after="0" w:line="240" w:lineRule="auto"/>
              <w:rPr>
                <w:rFonts w:ascii="BentonSans Book" w:eastAsia="Canva Sans" w:hAnsi="BentonSans Book" w:cs="Canva Sans"/>
                <w:color w:val="000000"/>
                <w:sz w:val="20"/>
                <w:szCs w:val="18"/>
              </w:rPr>
            </w:pPr>
            <w:r w:rsidRPr="007622BF">
              <w:rPr>
                <w:rFonts w:ascii="BentonSans Book" w:eastAsia="Canva Sans" w:hAnsi="BentonSans Book" w:cs="Canva Sans"/>
                <w:color w:val="000000"/>
                <w:sz w:val="20"/>
                <w:szCs w:val="18"/>
              </w:rPr>
              <w:t xml:space="preserve">Counsel family to do more research and not decide in the office visit. Send home with medication handouts and recommend reliable websites for more information. Set up a return visit or call for further discussion. </w:t>
            </w:r>
          </w:p>
        </w:tc>
      </w:tr>
      <w:tr w:rsidR="002D6BB9" w:rsidRPr="007622BF" w14:paraId="0A59A41B" w14:textId="77777777" w:rsidTr="00E26DD2">
        <w:tc>
          <w:tcPr>
            <w:tcW w:w="3510" w:type="dxa"/>
            <w:tcBorders>
              <w:top w:val="single" w:sz="4" w:space="0" w:color="auto"/>
              <w:bottom w:val="single" w:sz="4" w:space="0" w:color="auto"/>
            </w:tcBorders>
            <w:tcMar>
              <w:top w:w="180" w:type="dxa"/>
              <w:left w:w="180" w:type="dxa"/>
              <w:bottom w:w="180" w:type="dxa"/>
              <w:right w:w="180" w:type="dxa"/>
            </w:tcMar>
          </w:tcPr>
          <w:p w14:paraId="5409E15B"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Child objects to taste of medications</w:t>
            </w:r>
            <w:r w:rsidRPr="007622BF">
              <w:rPr>
                <w:rFonts w:ascii="BentonSans Medium" w:eastAsia="Canva Sans" w:hAnsi="BentonSans Medium" w:cs="Canva Sans"/>
                <w:color w:val="000000"/>
                <w:sz w:val="20"/>
                <w:szCs w:val="18"/>
              </w:rPr>
              <w:t xml:space="preserve"> </w:t>
            </w:r>
          </w:p>
        </w:tc>
        <w:tc>
          <w:tcPr>
            <w:tcW w:w="7020" w:type="dxa"/>
            <w:tcBorders>
              <w:top w:val="single" w:sz="4" w:space="0" w:color="auto"/>
              <w:bottom w:val="single" w:sz="4" w:space="0" w:color="auto"/>
            </w:tcBorders>
            <w:tcMar>
              <w:top w:w="180" w:type="dxa"/>
              <w:left w:w="180" w:type="dxa"/>
              <w:bottom w:w="180" w:type="dxa"/>
              <w:right w:w="180" w:type="dxa"/>
            </w:tcMar>
          </w:tcPr>
          <w:p w14:paraId="1A174909" w14:textId="042A14E9" w:rsidR="002D6BB9" w:rsidRPr="007622BF" w:rsidRDefault="00000000" w:rsidP="004A46AB">
            <w:pPr>
              <w:widowControl w:val="0"/>
              <w:spacing w:after="0" w:line="240" w:lineRule="auto"/>
              <w:rPr>
                <w:rFonts w:ascii="BentonSans Book" w:eastAsia="Canva Sans" w:hAnsi="BentonSans Book" w:cs="Canva Sans"/>
                <w:color w:val="000000"/>
                <w:sz w:val="20"/>
                <w:szCs w:val="18"/>
              </w:rPr>
            </w:pPr>
            <w:r w:rsidRPr="007622BF">
              <w:rPr>
                <w:rFonts w:ascii="BentonSans Book" w:eastAsia="Canva Sans" w:hAnsi="BentonSans Book" w:cs="Canva Sans"/>
                <w:color w:val="000000"/>
                <w:sz w:val="20"/>
                <w:szCs w:val="18"/>
              </w:rPr>
              <w:t xml:space="preserve">Provide ice cube or Popsicle before medication is given; chill medication; have pharmacy flavor liquid medication; choose lower-volume concentrate when available; have patient learn to swallow pills by practicing with </w:t>
            </w:r>
            <w:proofErr w:type="gramStart"/>
            <w:r w:rsidRPr="007622BF">
              <w:rPr>
                <w:rFonts w:ascii="BentonSans Book" w:eastAsia="Canva Sans" w:hAnsi="BentonSans Book" w:cs="Canva Sans"/>
                <w:color w:val="000000"/>
                <w:sz w:val="20"/>
                <w:szCs w:val="18"/>
              </w:rPr>
              <w:t>mini M</w:t>
            </w:r>
            <w:proofErr w:type="gramEnd"/>
            <w:r w:rsidRPr="007622BF">
              <w:rPr>
                <w:rFonts w:ascii="BentonSans Book" w:eastAsia="Canva Sans" w:hAnsi="BentonSans Book" w:cs="Canva Sans"/>
                <w:color w:val="000000"/>
                <w:sz w:val="20"/>
                <w:szCs w:val="18"/>
              </w:rPr>
              <w:t xml:space="preserve">&amp;Ms </w:t>
            </w:r>
          </w:p>
        </w:tc>
      </w:tr>
      <w:tr w:rsidR="002D6BB9" w:rsidRPr="007622BF" w14:paraId="40400E02" w14:textId="77777777" w:rsidTr="00E26DD2">
        <w:tc>
          <w:tcPr>
            <w:tcW w:w="3510" w:type="dxa"/>
            <w:tcBorders>
              <w:top w:val="single" w:sz="4" w:space="0" w:color="auto"/>
              <w:bottom w:val="single" w:sz="4" w:space="0" w:color="auto"/>
            </w:tcBorders>
            <w:tcMar>
              <w:top w:w="180" w:type="dxa"/>
              <w:left w:w="180" w:type="dxa"/>
              <w:bottom w:w="180" w:type="dxa"/>
              <w:right w:w="180" w:type="dxa"/>
            </w:tcMar>
          </w:tcPr>
          <w:p w14:paraId="2BF95E60"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Patient objects to medication because it proves something is wrong with the patient</w:t>
            </w:r>
            <w:r w:rsidRPr="007622BF">
              <w:rPr>
                <w:rFonts w:ascii="BentonSans Medium" w:eastAsia="Canva Sans" w:hAnsi="BentonSans Medium" w:cs="Canva Sans"/>
                <w:color w:val="000000"/>
                <w:sz w:val="20"/>
                <w:szCs w:val="18"/>
              </w:rPr>
              <w:t xml:space="preserve"> </w:t>
            </w:r>
          </w:p>
        </w:tc>
        <w:tc>
          <w:tcPr>
            <w:tcW w:w="7020" w:type="dxa"/>
            <w:tcBorders>
              <w:top w:val="single" w:sz="4" w:space="0" w:color="auto"/>
              <w:bottom w:val="single" w:sz="4" w:space="0" w:color="auto"/>
            </w:tcBorders>
            <w:tcMar>
              <w:top w:w="180" w:type="dxa"/>
              <w:left w:w="180" w:type="dxa"/>
              <w:bottom w:w="180" w:type="dxa"/>
              <w:right w:w="180" w:type="dxa"/>
            </w:tcMar>
          </w:tcPr>
          <w:p w14:paraId="18A6560E" w14:textId="77777777" w:rsidR="002D6BB9" w:rsidRPr="007622BF" w:rsidRDefault="00000000" w:rsidP="004A46AB">
            <w:pPr>
              <w:widowControl w:val="0"/>
              <w:spacing w:after="0" w:line="240" w:lineRule="auto"/>
              <w:rPr>
                <w:rFonts w:ascii="BentonSans Book" w:eastAsia="Canva Sans" w:hAnsi="BentonSans Book" w:cs="Canva Sans"/>
                <w:color w:val="000000"/>
                <w:sz w:val="20"/>
                <w:szCs w:val="18"/>
              </w:rPr>
            </w:pPr>
            <w:r w:rsidRPr="007622BF">
              <w:rPr>
                <w:rFonts w:ascii="BentonSans Book" w:eastAsia="Canva Sans" w:hAnsi="BentonSans Book" w:cs="Canva Sans"/>
                <w:color w:val="000000"/>
                <w:sz w:val="20"/>
                <w:szCs w:val="18"/>
              </w:rPr>
              <w:t xml:space="preserve">Have patient practice talking back to disorder when taking medication, using the medicine as a weapon against the disorder. “Take that, OCD!” </w:t>
            </w:r>
          </w:p>
        </w:tc>
      </w:tr>
      <w:tr w:rsidR="002D6BB9" w:rsidRPr="007622BF" w14:paraId="2C1459D1" w14:textId="77777777" w:rsidTr="00E26DD2">
        <w:tc>
          <w:tcPr>
            <w:tcW w:w="3510" w:type="dxa"/>
            <w:tcBorders>
              <w:top w:val="single" w:sz="4" w:space="0" w:color="auto"/>
              <w:bottom w:val="single" w:sz="4" w:space="0" w:color="auto"/>
            </w:tcBorders>
            <w:tcMar>
              <w:top w:w="180" w:type="dxa"/>
              <w:left w:w="180" w:type="dxa"/>
              <w:bottom w:w="180" w:type="dxa"/>
              <w:right w:w="180" w:type="dxa"/>
            </w:tcMar>
          </w:tcPr>
          <w:p w14:paraId="74664208"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Adolescent worries about appearance</w:t>
            </w:r>
            <w:r w:rsidRPr="007622BF">
              <w:rPr>
                <w:rFonts w:ascii="BentonSans Medium" w:eastAsia="Canva Sans" w:hAnsi="BentonSans Medium" w:cs="Canva Sans"/>
                <w:color w:val="000000"/>
                <w:sz w:val="20"/>
                <w:szCs w:val="18"/>
              </w:rPr>
              <w:t xml:space="preserve"> </w:t>
            </w:r>
          </w:p>
        </w:tc>
        <w:tc>
          <w:tcPr>
            <w:tcW w:w="7020" w:type="dxa"/>
            <w:tcBorders>
              <w:top w:val="single" w:sz="4" w:space="0" w:color="auto"/>
              <w:bottom w:val="single" w:sz="4" w:space="0" w:color="auto"/>
            </w:tcBorders>
            <w:tcMar>
              <w:top w:w="180" w:type="dxa"/>
              <w:left w:w="180" w:type="dxa"/>
              <w:bottom w:w="180" w:type="dxa"/>
              <w:right w:w="180" w:type="dxa"/>
            </w:tcMar>
          </w:tcPr>
          <w:p w14:paraId="12002EE9" w14:textId="77777777" w:rsidR="002D6BB9" w:rsidRPr="007622BF" w:rsidRDefault="00000000" w:rsidP="004A46AB">
            <w:pPr>
              <w:widowControl w:val="0"/>
              <w:spacing w:after="0" w:line="240" w:lineRule="auto"/>
              <w:rPr>
                <w:rFonts w:ascii="BentonSans Book" w:eastAsia="Canva Sans" w:hAnsi="BentonSans Book" w:cs="Canva Sans"/>
                <w:color w:val="000000"/>
                <w:sz w:val="20"/>
                <w:szCs w:val="18"/>
              </w:rPr>
            </w:pPr>
            <w:r w:rsidRPr="007622BF">
              <w:rPr>
                <w:rFonts w:ascii="BentonSans Book" w:eastAsia="Canva Sans" w:hAnsi="BentonSans Book" w:cs="Canva Sans"/>
                <w:color w:val="000000"/>
                <w:sz w:val="20"/>
                <w:szCs w:val="18"/>
              </w:rPr>
              <w:t xml:space="preserve">Select medication less likely to exacerbate acne or cause weight gain. Talk to patient alone at each visit to gain trust and promote patient autonomy </w:t>
            </w:r>
          </w:p>
        </w:tc>
      </w:tr>
      <w:tr w:rsidR="002D6BB9" w:rsidRPr="007622BF" w14:paraId="587FE79D" w14:textId="77777777" w:rsidTr="00E26DD2">
        <w:tc>
          <w:tcPr>
            <w:tcW w:w="3510" w:type="dxa"/>
            <w:tcBorders>
              <w:top w:val="single" w:sz="4" w:space="0" w:color="auto"/>
              <w:bottom w:val="single" w:sz="4" w:space="0" w:color="auto"/>
            </w:tcBorders>
            <w:tcMar>
              <w:top w:w="180" w:type="dxa"/>
              <w:left w:w="180" w:type="dxa"/>
              <w:bottom w:w="180" w:type="dxa"/>
              <w:right w:w="180" w:type="dxa"/>
            </w:tcMar>
          </w:tcPr>
          <w:p w14:paraId="23C6711B" w14:textId="77777777" w:rsidR="002D6BB9" w:rsidRPr="007622BF" w:rsidRDefault="00000000" w:rsidP="004A46AB">
            <w:pPr>
              <w:widowControl w:val="0"/>
              <w:spacing w:after="0" w:line="240" w:lineRule="auto"/>
              <w:rPr>
                <w:rFonts w:ascii="BentonSans Medium" w:hAnsi="BentonSans Medium"/>
                <w:sz w:val="20"/>
                <w:szCs w:val="18"/>
              </w:rPr>
            </w:pPr>
            <w:r w:rsidRPr="007622BF">
              <w:rPr>
                <w:rFonts w:ascii="BentonSans Medium" w:eastAsia="Canva Sans Bold" w:hAnsi="BentonSans Medium" w:cs="Canva Sans Bold"/>
                <w:color w:val="000000"/>
                <w:sz w:val="20"/>
                <w:szCs w:val="18"/>
              </w:rPr>
              <w:t>Intense fear of side effects in highly anxious patient</w:t>
            </w:r>
            <w:r w:rsidRPr="007622BF">
              <w:rPr>
                <w:rFonts w:ascii="BentonSans Medium" w:eastAsia="Canva Sans" w:hAnsi="BentonSans Medium" w:cs="Canva Sans"/>
                <w:color w:val="000000"/>
                <w:sz w:val="20"/>
                <w:szCs w:val="18"/>
              </w:rPr>
              <w:t xml:space="preserve"> </w:t>
            </w:r>
          </w:p>
        </w:tc>
        <w:tc>
          <w:tcPr>
            <w:tcW w:w="7020" w:type="dxa"/>
            <w:tcBorders>
              <w:top w:val="single" w:sz="4" w:space="0" w:color="auto"/>
              <w:bottom w:val="single" w:sz="4" w:space="0" w:color="auto"/>
            </w:tcBorders>
            <w:tcMar>
              <w:top w:w="180" w:type="dxa"/>
              <w:left w:w="180" w:type="dxa"/>
              <w:bottom w:w="180" w:type="dxa"/>
              <w:right w:w="180" w:type="dxa"/>
            </w:tcMar>
          </w:tcPr>
          <w:p w14:paraId="0EEDEBE8" w14:textId="77777777" w:rsidR="002D6BB9" w:rsidRPr="007622BF" w:rsidRDefault="00000000" w:rsidP="004A46AB">
            <w:pPr>
              <w:widowControl w:val="0"/>
              <w:spacing w:after="0" w:line="240" w:lineRule="auto"/>
              <w:rPr>
                <w:sz w:val="20"/>
                <w:szCs w:val="18"/>
              </w:rPr>
            </w:pPr>
            <w:r w:rsidRPr="007622BF">
              <w:rPr>
                <w:rFonts w:ascii="BentonSans Book" w:eastAsia="Canva Sans" w:hAnsi="BentonSans Book" w:cs="Canva Sans"/>
                <w:color w:val="000000"/>
                <w:sz w:val="20"/>
                <w:szCs w:val="18"/>
              </w:rPr>
              <w:t>Provide percentage risk of side effects rather than descriptors like “rare”; compare to OTC medications the patient is comfortable taking</w:t>
            </w:r>
            <w:r w:rsidRPr="007622BF">
              <w:rPr>
                <w:rFonts w:ascii="Canva Sans" w:eastAsia="Canva Sans" w:hAnsi="Canva Sans" w:cs="Canva Sans"/>
                <w:color w:val="000000"/>
                <w:sz w:val="20"/>
                <w:szCs w:val="18"/>
              </w:rPr>
              <w:t xml:space="preserve"> </w:t>
            </w:r>
          </w:p>
        </w:tc>
      </w:tr>
    </w:tbl>
    <w:p w14:paraId="56E76C9A" w14:textId="77777777" w:rsidR="00E26DD2" w:rsidRDefault="00E26DD2" w:rsidP="00E26DD2">
      <w:pPr>
        <w:widowControl w:val="0"/>
        <w:spacing w:after="0" w:line="240" w:lineRule="auto"/>
        <w:rPr>
          <w:rFonts w:ascii="BentonSans Medium" w:eastAsia="Canva Sans Bold" w:hAnsi="BentonSans Medium" w:cs="Canva Sans Bold"/>
          <w:color w:val="000000"/>
          <w:szCs w:val="26"/>
        </w:rPr>
      </w:pPr>
    </w:p>
    <w:p w14:paraId="3DE5650D" w14:textId="4C8CF6DD" w:rsidR="002D6BB9" w:rsidRPr="007622BF" w:rsidRDefault="007622BF" w:rsidP="00E26DD2">
      <w:pPr>
        <w:widowControl w:val="0"/>
        <w:spacing w:after="0" w:line="240" w:lineRule="auto"/>
        <w:rPr>
          <w:rFonts w:ascii="BentonSans Medium" w:hAnsi="BentonSans Medium"/>
          <w:sz w:val="22"/>
          <w:szCs w:val="22"/>
        </w:rPr>
      </w:pPr>
      <w:r w:rsidRPr="007622BF">
        <w:rPr>
          <w:rFonts w:ascii="BentonSans Medium" w:eastAsia="Canva Sans Bold" w:hAnsi="BentonSans Medium" w:cs="Canva Sans Bold"/>
          <w:color w:val="000000"/>
          <w:szCs w:val="26"/>
        </w:rPr>
        <w:t xml:space="preserve">At Follow-Up Visits </w:t>
      </w:r>
      <w:r>
        <w:rPr>
          <w:rFonts w:ascii="BentonSans Medium" w:eastAsia="Canva Sans Bold" w:hAnsi="BentonSans Medium" w:cs="Canva Sans Bold"/>
          <w:color w:val="000000"/>
          <w:szCs w:val="26"/>
        </w:rPr>
        <w:br/>
      </w:r>
    </w:p>
    <w:p w14:paraId="24627698" w14:textId="29B3BAF5" w:rsidR="002D6BB9" w:rsidRPr="004A46AB" w:rsidRDefault="00000000" w:rsidP="004A46AB">
      <w:pPr>
        <w:widowControl w:val="0"/>
        <w:numPr>
          <w:ilvl w:val="0"/>
          <w:numId w:val="2"/>
        </w:numPr>
        <w:spacing w:after="0" w:line="240" w:lineRule="auto"/>
        <w:rPr>
          <w:sz w:val="21"/>
          <w:szCs w:val="21"/>
        </w:rPr>
      </w:pPr>
      <w:r w:rsidRPr="004A46AB">
        <w:rPr>
          <w:rFonts w:ascii="BentonSans Regular" w:eastAsia="Canva Sans Bold" w:hAnsi="BentonSans Regular" w:cs="Canva Sans Bold"/>
          <w:b/>
          <w:bCs/>
          <w:color w:val="000000"/>
          <w:sz w:val="21"/>
          <w:szCs w:val="21"/>
        </w:rPr>
        <w:t xml:space="preserve">Update medication history while reviewing interval adherence. </w:t>
      </w:r>
      <w:r w:rsidRPr="004A46AB">
        <w:rPr>
          <w:rFonts w:ascii="MS Mincho" w:eastAsia="MS Mincho" w:hAnsi="MS Mincho" w:cs="MS Mincho" w:hint="eastAsia"/>
          <w:b/>
          <w:bCs/>
          <w:color w:val="000000"/>
          <w:sz w:val="21"/>
          <w:szCs w:val="21"/>
        </w:rPr>
        <w:t> </w:t>
      </w:r>
      <w:r w:rsidRPr="004A46AB">
        <w:rPr>
          <w:rFonts w:ascii="BentonSans Book" w:eastAsia="Canva Sans" w:hAnsi="BentonSans Book" w:cs="Canva Sans"/>
          <w:color w:val="000000"/>
          <w:sz w:val="21"/>
          <w:szCs w:val="21"/>
        </w:rPr>
        <w:t xml:space="preserve">At the start of the visit, ask the patient if they are taking the medications and on what schedule. Ask older children adolescents directly about their medications. Have them identify the medication and the dose schedule. Ask when they last forgot to take a medication, how often it may have been forgotten per week, and if parents must remind them frequently to take the medication. </w:t>
      </w:r>
      <w:r w:rsidRPr="004A46AB">
        <w:rPr>
          <w:rFonts w:ascii="MS Mincho" w:eastAsia="MS Mincho" w:hAnsi="MS Mincho" w:cs="MS Mincho" w:hint="eastAsia"/>
          <w:color w:val="000000"/>
          <w:sz w:val="21"/>
          <w:szCs w:val="21"/>
        </w:rPr>
        <w:t> </w:t>
      </w:r>
      <w:r w:rsidRPr="004A46AB">
        <w:rPr>
          <w:rFonts w:ascii="Canva Sans" w:eastAsia="Canva Sans" w:hAnsi="Canva Sans" w:cs="Canva Sans"/>
          <w:color w:val="000000"/>
          <w:sz w:val="21"/>
          <w:szCs w:val="21"/>
        </w:rPr>
        <w:br/>
        <w:t xml:space="preserve"> </w:t>
      </w:r>
    </w:p>
    <w:p w14:paraId="706C7B02" w14:textId="6F180864" w:rsidR="002D6BB9" w:rsidRPr="004A46AB" w:rsidRDefault="00000000" w:rsidP="004A46AB">
      <w:pPr>
        <w:widowControl w:val="0"/>
        <w:numPr>
          <w:ilvl w:val="0"/>
          <w:numId w:val="2"/>
        </w:numPr>
        <w:spacing w:after="0" w:line="240" w:lineRule="auto"/>
        <w:rPr>
          <w:sz w:val="21"/>
          <w:szCs w:val="21"/>
        </w:rPr>
      </w:pPr>
      <w:r w:rsidRPr="004A46AB">
        <w:rPr>
          <w:rFonts w:ascii="BentonSans Regular" w:eastAsia="Canva Sans Bold" w:hAnsi="BentonSans Regular" w:cs="Canva Sans Bold"/>
          <w:b/>
          <w:bCs/>
          <w:color w:val="000000"/>
          <w:sz w:val="21"/>
          <w:szCs w:val="21"/>
        </w:rPr>
        <w:t xml:space="preserve">If doses have been missed, explore barriers and thank the patient for sharing the information. </w:t>
      </w:r>
      <w:r w:rsidRPr="004A46AB">
        <w:rPr>
          <w:rFonts w:ascii="MS Mincho" w:eastAsia="MS Mincho" w:hAnsi="MS Mincho" w:cs="MS Mincho" w:hint="eastAsia"/>
          <w:b/>
          <w:bCs/>
          <w:color w:val="000000"/>
          <w:sz w:val="21"/>
          <w:szCs w:val="21"/>
        </w:rPr>
        <w:t> </w:t>
      </w:r>
      <w:r w:rsidRPr="004A46AB">
        <w:rPr>
          <w:rFonts w:ascii="BentonSans Book" w:eastAsia="Canva Sans" w:hAnsi="BentonSans Book" w:cs="Canva Sans"/>
          <w:color w:val="000000"/>
          <w:sz w:val="21"/>
          <w:szCs w:val="21"/>
        </w:rPr>
        <w:t xml:space="preserve">Remind the patient that you routinely ask about health practice such as exercise and diet and about medication adherence. Useful questions could include “Did you have any trouble filling the prescription? How </w:t>
      </w:r>
      <w:r w:rsidRPr="004A46AB">
        <w:rPr>
          <w:rFonts w:ascii="BentonSans Book" w:eastAsia="Canva Sans" w:hAnsi="BentonSans Book" w:cs="Canva Sans"/>
          <w:color w:val="000000"/>
          <w:sz w:val="21"/>
          <w:szCs w:val="21"/>
        </w:rPr>
        <w:lastRenderedPageBreak/>
        <w:t>much did it end up costing you – is that price manageable every month? I know it is a challenge to keep up with medications day after day. Is it hard to get in some of the doses each day? How many doses would you estimate you miss a week?”</w:t>
      </w:r>
      <w:r w:rsidRPr="004A46AB">
        <w:rPr>
          <w:rFonts w:ascii="MS Mincho" w:eastAsia="MS Mincho" w:hAnsi="MS Mincho" w:cs="MS Mincho" w:hint="eastAsia"/>
          <w:color w:val="000000"/>
          <w:sz w:val="21"/>
          <w:szCs w:val="21"/>
        </w:rPr>
        <w:t> </w:t>
      </w:r>
      <w:r w:rsidRPr="004A46AB">
        <w:rPr>
          <w:rFonts w:ascii="Canva Sans" w:eastAsia="Canva Sans" w:hAnsi="Canva Sans" w:cs="Canva Sans"/>
          <w:color w:val="000000"/>
          <w:sz w:val="21"/>
          <w:szCs w:val="21"/>
        </w:rPr>
        <w:br/>
        <w:t xml:space="preserve"> </w:t>
      </w:r>
    </w:p>
    <w:p w14:paraId="0CB7FB1C" w14:textId="0806D7CC" w:rsidR="002D6BB9" w:rsidRPr="004A46AB" w:rsidRDefault="00000000" w:rsidP="004A46AB">
      <w:pPr>
        <w:widowControl w:val="0"/>
        <w:numPr>
          <w:ilvl w:val="0"/>
          <w:numId w:val="2"/>
        </w:numPr>
        <w:spacing w:after="0" w:line="240" w:lineRule="auto"/>
        <w:rPr>
          <w:sz w:val="21"/>
          <w:szCs w:val="21"/>
        </w:rPr>
      </w:pPr>
      <w:r w:rsidRPr="004A46AB">
        <w:rPr>
          <w:rFonts w:ascii="BentonSans Regular" w:eastAsia="Canva Sans Bold" w:hAnsi="BentonSans Regular" w:cs="Canva Sans Bold"/>
          <w:b/>
          <w:bCs/>
          <w:color w:val="000000"/>
          <w:sz w:val="21"/>
          <w:szCs w:val="21"/>
        </w:rPr>
        <w:t xml:space="preserve">Assess the medication’s efficacy and adverse effects. Decide with the patient if the medication should be continued. </w:t>
      </w:r>
      <w:r w:rsidRPr="004A46AB">
        <w:rPr>
          <w:rFonts w:ascii="MS Mincho" w:eastAsia="MS Mincho" w:hAnsi="MS Mincho" w:cs="MS Mincho" w:hint="eastAsia"/>
          <w:b/>
          <w:bCs/>
          <w:color w:val="000000"/>
          <w:sz w:val="21"/>
          <w:szCs w:val="21"/>
        </w:rPr>
        <w:t> </w:t>
      </w:r>
      <w:r w:rsidRPr="004A46AB">
        <w:rPr>
          <w:rFonts w:ascii="BentonSans Book" w:eastAsia="Canva Sans" w:hAnsi="BentonSans Book" w:cs="Canva Sans"/>
          <w:color w:val="000000"/>
          <w:sz w:val="21"/>
          <w:szCs w:val="21"/>
        </w:rPr>
        <w:t xml:space="preserve">If the patient describes adverse effects, express empathy and have the family rate the discomfort caused by the adverse effects. Offer solutions/alternatives, </w:t>
      </w:r>
      <w:proofErr w:type="gramStart"/>
      <w:r w:rsidRPr="004A46AB">
        <w:rPr>
          <w:rFonts w:ascii="BentonSans Book" w:eastAsia="Canva Sans" w:hAnsi="BentonSans Book" w:cs="Canva Sans"/>
          <w:color w:val="000000"/>
          <w:sz w:val="21"/>
          <w:szCs w:val="21"/>
        </w:rPr>
        <w:t>frankly</w:t>
      </w:r>
      <w:proofErr w:type="gramEnd"/>
      <w:r w:rsidRPr="004A46AB">
        <w:rPr>
          <w:rFonts w:ascii="BentonSans Book" w:eastAsia="Canva Sans" w:hAnsi="BentonSans Book" w:cs="Canva Sans"/>
          <w:color w:val="000000"/>
          <w:sz w:val="21"/>
          <w:szCs w:val="21"/>
        </w:rPr>
        <w:t xml:space="preserve"> describing how likely they are to help. Focus on adverse effects likely to bother </w:t>
      </w:r>
      <w:proofErr w:type="gramStart"/>
      <w:r w:rsidRPr="004A46AB">
        <w:rPr>
          <w:rFonts w:ascii="BentonSans Book" w:eastAsia="Canva Sans" w:hAnsi="BentonSans Book" w:cs="Canva Sans"/>
          <w:color w:val="000000"/>
          <w:sz w:val="21"/>
          <w:szCs w:val="21"/>
        </w:rPr>
        <w:t>particular patients</w:t>
      </w:r>
      <w:proofErr w:type="gramEnd"/>
      <w:r w:rsidRPr="004A46AB">
        <w:rPr>
          <w:rFonts w:ascii="BentonSans Book" w:eastAsia="Canva Sans" w:hAnsi="BentonSans Book" w:cs="Canva Sans"/>
          <w:color w:val="000000"/>
          <w:sz w:val="21"/>
          <w:szCs w:val="21"/>
        </w:rPr>
        <w:t>. Weight gain and acne exacerbations are particularly upsetting to adolescents, for instance, while bitter taste is more likely to bother younger children. As the visit winds down, summarize any reported adverse effects/adherence barriers and benefits observed. Invite the patient and family to decide if the medication should be maintained. “It sounds like you are sleepier on the medicine, but your mood is better, and you are getting more work done in school. I can give you advice about your health condition and your medication, but you know best how you feel. What do you think – is this medication a keeper even with the sleepiness?”</w:t>
      </w:r>
      <w:r w:rsidRPr="004A46AB">
        <w:rPr>
          <w:rFonts w:ascii="MS Mincho" w:eastAsia="MS Mincho" w:hAnsi="MS Mincho" w:cs="MS Mincho" w:hint="eastAsia"/>
          <w:color w:val="000000"/>
          <w:sz w:val="21"/>
          <w:szCs w:val="21"/>
        </w:rPr>
        <w:t> </w:t>
      </w:r>
      <w:r w:rsidRPr="004A46AB">
        <w:rPr>
          <w:rFonts w:ascii="Canva Sans Bold" w:eastAsia="Canva Sans Bold" w:hAnsi="Canva Sans Bold" w:cs="Canva Sans Bold"/>
          <w:b/>
          <w:bCs/>
          <w:color w:val="000000"/>
          <w:sz w:val="21"/>
          <w:szCs w:val="21"/>
        </w:rPr>
        <w:br/>
        <w:t xml:space="preserve"> </w:t>
      </w:r>
    </w:p>
    <w:p w14:paraId="09290C8F" w14:textId="09915D24" w:rsidR="002D6BB9" w:rsidRPr="004A46AB" w:rsidRDefault="00000000" w:rsidP="004A46AB">
      <w:pPr>
        <w:widowControl w:val="0"/>
        <w:numPr>
          <w:ilvl w:val="0"/>
          <w:numId w:val="2"/>
        </w:numPr>
        <w:spacing w:after="0" w:line="240" w:lineRule="auto"/>
        <w:rPr>
          <w:sz w:val="22"/>
          <w:szCs w:val="22"/>
        </w:rPr>
      </w:pPr>
      <w:r w:rsidRPr="004A46AB">
        <w:rPr>
          <w:rFonts w:ascii="BentonSans Regular" w:eastAsia="Canva Sans Bold" w:hAnsi="BentonSans Regular" w:cs="Canva Sans Bold"/>
          <w:b/>
          <w:bCs/>
          <w:color w:val="000000"/>
          <w:sz w:val="21"/>
          <w:szCs w:val="21"/>
        </w:rPr>
        <w:t xml:space="preserve">If the medication is to be maintained but adherence has been suboptimal, trouble-shoot solutions. </w:t>
      </w:r>
      <w:r w:rsidRPr="004A46AB">
        <w:rPr>
          <w:rFonts w:ascii="MS Mincho" w:eastAsia="MS Mincho" w:hAnsi="MS Mincho" w:cs="MS Mincho" w:hint="eastAsia"/>
          <w:b/>
          <w:bCs/>
          <w:color w:val="000000"/>
          <w:sz w:val="21"/>
          <w:szCs w:val="21"/>
        </w:rPr>
        <w:t> </w:t>
      </w:r>
      <w:r w:rsidRPr="004A46AB">
        <w:rPr>
          <w:rFonts w:ascii="BentonSans Book" w:eastAsia="Canva Sans" w:hAnsi="BentonSans Book" w:cs="Canva Sans"/>
          <w:color w:val="000000"/>
          <w:sz w:val="21"/>
          <w:szCs w:val="21"/>
        </w:rPr>
        <w:t>Table 3 describes helpful strategies. Negotiating roles for family members may be helpful. Children may find it fun to be assigned to remind their parents to give medication. Teens might be willing to have parents assist them in a pre-negotiated manner (via text reminders or provision of a pill minder box or app).</w:t>
      </w:r>
      <w:r w:rsidRPr="007622BF">
        <w:rPr>
          <w:rFonts w:ascii="Canva Sans" w:eastAsia="Canva Sans" w:hAnsi="Canva Sans" w:cs="Canva Sans"/>
          <w:color w:val="000000"/>
          <w:sz w:val="22"/>
          <w:szCs w:val="22"/>
        </w:rPr>
        <w:t xml:space="preserve">  </w:t>
      </w:r>
      <w:r w:rsidR="007622BF" w:rsidRPr="004A46AB">
        <w:rPr>
          <w:rFonts w:ascii="Canva Sans" w:eastAsia="Canva Sans" w:hAnsi="Canva Sans" w:cs="Canva Sans"/>
          <w:color w:val="000000"/>
          <w:sz w:val="22"/>
          <w:szCs w:val="22"/>
        </w:rPr>
        <w:br/>
      </w:r>
    </w:p>
    <w:p w14:paraId="06D383F3" w14:textId="2C236F62" w:rsidR="002D6BB9" w:rsidRPr="007622BF" w:rsidRDefault="00000000" w:rsidP="004A46AB">
      <w:pPr>
        <w:widowControl w:val="0"/>
        <w:spacing w:after="0" w:line="240" w:lineRule="auto"/>
        <w:rPr>
          <w:rFonts w:ascii="BentonSans Medium" w:hAnsi="BentonSans Medium"/>
          <w:sz w:val="22"/>
          <w:szCs w:val="22"/>
        </w:rPr>
      </w:pPr>
      <w:r w:rsidRPr="007622BF">
        <w:rPr>
          <w:rFonts w:ascii="BentonSans Medium" w:eastAsia="Canva Sans Bold" w:hAnsi="BentonSans Medium" w:cs="Canva Sans Bold"/>
          <w:color w:val="000000"/>
          <w:szCs w:val="26"/>
        </w:rPr>
        <w:t xml:space="preserve">Table 3. Strategies for Maintaining Adherence </w:t>
      </w:r>
      <w:r w:rsidR="007622BF">
        <w:rPr>
          <w:rFonts w:ascii="BentonSans Medium" w:eastAsia="Canva Sans Bold" w:hAnsi="BentonSans Medium" w:cs="Canva Sans Bold"/>
          <w:color w:val="000000"/>
          <w:szCs w:val="26"/>
        </w:rPr>
        <w:br/>
      </w:r>
    </w:p>
    <w:tbl>
      <w:tblPr>
        <w:tblW w:w="10620" w:type="dxa"/>
        <w:tblInd w:w="180"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000" w:firstRow="0" w:lastRow="0" w:firstColumn="0" w:lastColumn="0" w:noHBand="0" w:noVBand="0"/>
      </w:tblPr>
      <w:tblGrid>
        <w:gridCol w:w="3420"/>
        <w:gridCol w:w="7200"/>
      </w:tblGrid>
      <w:tr w:rsidR="002D6BB9" w:rsidRPr="007622BF" w14:paraId="4E12185F" w14:textId="77777777" w:rsidTr="00E26DD2">
        <w:tc>
          <w:tcPr>
            <w:tcW w:w="3420" w:type="dxa"/>
            <w:tcBorders>
              <w:top w:val="single" w:sz="4" w:space="0" w:color="auto"/>
              <w:bottom w:val="single" w:sz="4" w:space="0" w:color="auto"/>
            </w:tcBorders>
            <w:shd w:val="clear" w:color="auto" w:fill="C1E4F5" w:themeFill="accent1" w:themeFillTint="33"/>
            <w:tcMar>
              <w:top w:w="180" w:type="dxa"/>
              <w:left w:w="180" w:type="dxa"/>
              <w:bottom w:w="180" w:type="dxa"/>
              <w:right w:w="180" w:type="dxa"/>
            </w:tcMar>
          </w:tcPr>
          <w:p w14:paraId="7B79A504" w14:textId="77777777" w:rsidR="002D6BB9" w:rsidRPr="007622BF" w:rsidRDefault="00000000" w:rsidP="004A46AB">
            <w:pPr>
              <w:widowControl w:val="0"/>
              <w:spacing w:after="0" w:line="240" w:lineRule="auto"/>
              <w:rPr>
                <w:rFonts w:ascii="BentonSans Medium" w:hAnsi="BentonSans Medium"/>
                <w:sz w:val="20"/>
                <w:szCs w:val="20"/>
              </w:rPr>
            </w:pPr>
            <w:r w:rsidRPr="007622BF">
              <w:rPr>
                <w:rFonts w:ascii="BentonSans Medium" w:eastAsia="Canva Sans Bold" w:hAnsi="BentonSans Medium" w:cs="Canva Sans Bold"/>
                <w:color w:val="000000"/>
                <w:sz w:val="20"/>
                <w:szCs w:val="20"/>
              </w:rPr>
              <w:t>Adherence barrier</w:t>
            </w:r>
            <w:r w:rsidRPr="007622BF">
              <w:rPr>
                <w:rFonts w:ascii="BentonSans Medium" w:eastAsia="Canva Sans" w:hAnsi="BentonSans Medium" w:cs="Canva Sans"/>
                <w:color w:val="000000"/>
                <w:sz w:val="20"/>
                <w:szCs w:val="20"/>
              </w:rPr>
              <w:t xml:space="preserve"> </w:t>
            </w:r>
          </w:p>
        </w:tc>
        <w:tc>
          <w:tcPr>
            <w:tcW w:w="7200" w:type="dxa"/>
            <w:tcBorders>
              <w:top w:val="single" w:sz="4" w:space="0" w:color="auto"/>
              <w:bottom w:val="single" w:sz="4" w:space="0" w:color="auto"/>
            </w:tcBorders>
            <w:shd w:val="clear" w:color="auto" w:fill="C1E4F5" w:themeFill="accent1" w:themeFillTint="33"/>
            <w:tcMar>
              <w:top w:w="180" w:type="dxa"/>
              <w:left w:w="180" w:type="dxa"/>
              <w:bottom w:w="180" w:type="dxa"/>
              <w:right w:w="180" w:type="dxa"/>
            </w:tcMar>
          </w:tcPr>
          <w:p w14:paraId="04BC7CF3" w14:textId="77777777" w:rsidR="002D6BB9" w:rsidRPr="007622BF" w:rsidRDefault="00000000" w:rsidP="004A46AB">
            <w:pPr>
              <w:widowControl w:val="0"/>
              <w:spacing w:after="0" w:line="240" w:lineRule="auto"/>
              <w:rPr>
                <w:rFonts w:ascii="BentonSans Medium" w:hAnsi="BentonSans Medium"/>
                <w:sz w:val="20"/>
                <w:szCs w:val="20"/>
              </w:rPr>
            </w:pPr>
            <w:r w:rsidRPr="007622BF">
              <w:rPr>
                <w:rFonts w:ascii="BentonSans Medium" w:eastAsia="Canva Sans Bold" w:hAnsi="BentonSans Medium" w:cs="Canva Sans Bold"/>
                <w:color w:val="000000"/>
                <w:sz w:val="20"/>
                <w:szCs w:val="20"/>
              </w:rPr>
              <w:t>Potential solutions</w:t>
            </w:r>
            <w:r w:rsidRPr="007622BF">
              <w:rPr>
                <w:rFonts w:ascii="BentonSans Medium" w:eastAsia="Canva Sans" w:hAnsi="BentonSans Medium" w:cs="Canva Sans"/>
                <w:color w:val="000000"/>
                <w:sz w:val="20"/>
                <w:szCs w:val="20"/>
              </w:rPr>
              <w:t xml:space="preserve"> </w:t>
            </w:r>
          </w:p>
        </w:tc>
      </w:tr>
      <w:tr w:rsidR="002D6BB9" w:rsidRPr="007622BF" w14:paraId="06112555" w14:textId="77777777" w:rsidTr="00E26DD2">
        <w:tc>
          <w:tcPr>
            <w:tcW w:w="3420" w:type="dxa"/>
            <w:tcBorders>
              <w:top w:val="single" w:sz="4" w:space="0" w:color="auto"/>
              <w:bottom w:val="single" w:sz="4" w:space="0" w:color="auto"/>
            </w:tcBorders>
            <w:tcMar>
              <w:top w:w="180" w:type="dxa"/>
              <w:left w:w="180" w:type="dxa"/>
              <w:bottom w:w="180" w:type="dxa"/>
              <w:right w:w="180" w:type="dxa"/>
            </w:tcMar>
          </w:tcPr>
          <w:p w14:paraId="273DC0CA" w14:textId="77777777" w:rsidR="002D6BB9" w:rsidRPr="007622BF" w:rsidRDefault="00000000" w:rsidP="004A46AB">
            <w:pPr>
              <w:widowControl w:val="0"/>
              <w:spacing w:after="0" w:line="240" w:lineRule="auto"/>
              <w:rPr>
                <w:rFonts w:ascii="BentonSans Medium" w:hAnsi="BentonSans Medium"/>
                <w:sz w:val="20"/>
                <w:szCs w:val="20"/>
              </w:rPr>
            </w:pPr>
            <w:r w:rsidRPr="007622BF">
              <w:rPr>
                <w:rFonts w:ascii="BentonSans Medium" w:eastAsia="Canva Sans Bold" w:hAnsi="BentonSans Medium" w:cs="Canva Sans Bold"/>
                <w:color w:val="000000"/>
                <w:sz w:val="20"/>
                <w:szCs w:val="20"/>
              </w:rPr>
              <w:t>Accessing pharmacy</w:t>
            </w:r>
            <w:r w:rsidRPr="007622BF">
              <w:rPr>
                <w:rFonts w:ascii="BentonSans Medium" w:eastAsia="Canva Sans" w:hAnsi="BentonSans Medium" w:cs="Canva Sans"/>
                <w:color w:val="000000"/>
                <w:sz w:val="20"/>
                <w:szCs w:val="20"/>
              </w:rPr>
              <w:t xml:space="preserve"> </w:t>
            </w:r>
          </w:p>
        </w:tc>
        <w:tc>
          <w:tcPr>
            <w:tcW w:w="7200" w:type="dxa"/>
            <w:tcBorders>
              <w:top w:val="single" w:sz="4" w:space="0" w:color="auto"/>
              <w:bottom w:val="single" w:sz="4" w:space="0" w:color="auto"/>
            </w:tcBorders>
            <w:tcMar>
              <w:top w:w="180" w:type="dxa"/>
              <w:left w:w="180" w:type="dxa"/>
              <w:bottom w:w="180" w:type="dxa"/>
              <w:right w:w="180" w:type="dxa"/>
            </w:tcMar>
          </w:tcPr>
          <w:p w14:paraId="0719DBC7"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90-day prescriptions, prescription delivery, pharmacy refill reminder program </w:t>
            </w:r>
          </w:p>
        </w:tc>
      </w:tr>
      <w:tr w:rsidR="002D6BB9" w:rsidRPr="007622BF" w14:paraId="7FFCC841" w14:textId="77777777" w:rsidTr="00E26DD2">
        <w:tc>
          <w:tcPr>
            <w:tcW w:w="3420" w:type="dxa"/>
            <w:tcBorders>
              <w:top w:val="single" w:sz="4" w:space="0" w:color="auto"/>
              <w:bottom w:val="single" w:sz="4" w:space="0" w:color="auto"/>
            </w:tcBorders>
            <w:tcMar>
              <w:top w:w="180" w:type="dxa"/>
              <w:left w:w="180" w:type="dxa"/>
              <w:bottom w:w="180" w:type="dxa"/>
              <w:right w:w="180" w:type="dxa"/>
            </w:tcMar>
          </w:tcPr>
          <w:p w14:paraId="5AD1DEA8" w14:textId="77777777" w:rsidR="002D6BB9" w:rsidRPr="007622BF" w:rsidRDefault="00000000" w:rsidP="004A46AB">
            <w:pPr>
              <w:widowControl w:val="0"/>
              <w:spacing w:after="0" w:line="240" w:lineRule="auto"/>
              <w:rPr>
                <w:rFonts w:ascii="BentonSans Medium" w:hAnsi="BentonSans Medium"/>
                <w:sz w:val="20"/>
                <w:szCs w:val="20"/>
              </w:rPr>
            </w:pPr>
            <w:r w:rsidRPr="007622BF">
              <w:rPr>
                <w:rFonts w:ascii="BentonSans Medium" w:eastAsia="Canva Sans Bold" w:hAnsi="BentonSans Medium" w:cs="Canva Sans Bold"/>
                <w:color w:val="000000"/>
                <w:sz w:val="20"/>
                <w:szCs w:val="20"/>
              </w:rPr>
              <w:t>High medication cost</w:t>
            </w:r>
            <w:r w:rsidRPr="007622BF">
              <w:rPr>
                <w:rFonts w:ascii="BentonSans Medium" w:eastAsia="Canva Sans" w:hAnsi="BentonSans Medium" w:cs="Canva Sans"/>
                <w:color w:val="000000"/>
                <w:sz w:val="20"/>
                <w:szCs w:val="20"/>
              </w:rPr>
              <w:t xml:space="preserve"> </w:t>
            </w:r>
          </w:p>
        </w:tc>
        <w:tc>
          <w:tcPr>
            <w:tcW w:w="7200" w:type="dxa"/>
            <w:tcBorders>
              <w:top w:val="single" w:sz="4" w:space="0" w:color="auto"/>
              <w:bottom w:val="single" w:sz="4" w:space="0" w:color="auto"/>
            </w:tcBorders>
            <w:tcMar>
              <w:top w:w="180" w:type="dxa"/>
              <w:left w:w="180" w:type="dxa"/>
              <w:bottom w:w="180" w:type="dxa"/>
              <w:right w:w="180" w:type="dxa"/>
            </w:tcMar>
          </w:tcPr>
          <w:p w14:paraId="4057B663"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Switch to generic, prescribe as a larger pill cut in half, use cost-reduction programs such as </w:t>
            </w:r>
            <w:proofErr w:type="spellStart"/>
            <w:r w:rsidRPr="007622BF">
              <w:rPr>
                <w:rFonts w:ascii="BentonSans Book" w:eastAsia="Canva Sans" w:hAnsi="BentonSans Book" w:cs="Canva Sans"/>
                <w:color w:val="000000"/>
                <w:sz w:val="20"/>
                <w:szCs w:val="20"/>
              </w:rPr>
              <w:t>GoodRx</w:t>
            </w:r>
            <w:proofErr w:type="spellEnd"/>
            <w:r w:rsidRPr="007622BF">
              <w:rPr>
                <w:rFonts w:ascii="BentonSans Book" w:eastAsia="Canva Sans" w:hAnsi="BentonSans Book" w:cs="Canva Sans"/>
                <w:color w:val="000000"/>
                <w:sz w:val="20"/>
                <w:szCs w:val="20"/>
              </w:rPr>
              <w:t xml:space="preserve"> </w:t>
            </w:r>
          </w:p>
        </w:tc>
      </w:tr>
      <w:tr w:rsidR="002D6BB9" w:rsidRPr="007622BF" w14:paraId="2BA1019F" w14:textId="77777777" w:rsidTr="00E26DD2">
        <w:tc>
          <w:tcPr>
            <w:tcW w:w="3420" w:type="dxa"/>
            <w:tcBorders>
              <w:top w:val="single" w:sz="4" w:space="0" w:color="auto"/>
              <w:bottom w:val="single" w:sz="4" w:space="0" w:color="auto"/>
            </w:tcBorders>
            <w:tcMar>
              <w:top w:w="180" w:type="dxa"/>
              <w:left w:w="180" w:type="dxa"/>
              <w:bottom w:w="180" w:type="dxa"/>
              <w:right w:w="180" w:type="dxa"/>
            </w:tcMar>
          </w:tcPr>
          <w:p w14:paraId="1F9B7315" w14:textId="77777777" w:rsidR="002D6BB9" w:rsidRPr="007622BF" w:rsidRDefault="00000000" w:rsidP="004A46AB">
            <w:pPr>
              <w:widowControl w:val="0"/>
              <w:spacing w:after="0" w:line="240" w:lineRule="auto"/>
              <w:rPr>
                <w:rFonts w:ascii="BentonSans Medium" w:hAnsi="BentonSans Medium"/>
                <w:sz w:val="20"/>
                <w:szCs w:val="20"/>
              </w:rPr>
            </w:pPr>
            <w:r w:rsidRPr="007622BF">
              <w:rPr>
                <w:rFonts w:ascii="BentonSans Medium" w:eastAsia="Canva Sans Bold" w:hAnsi="BentonSans Medium" w:cs="Canva Sans Bold"/>
                <w:color w:val="000000"/>
                <w:sz w:val="20"/>
                <w:szCs w:val="20"/>
              </w:rPr>
              <w:t>Difficulty understanding instructions on pill bottle</w:t>
            </w:r>
            <w:r w:rsidRPr="007622BF">
              <w:rPr>
                <w:rFonts w:ascii="BentonSans Medium" w:eastAsia="Canva Sans" w:hAnsi="BentonSans Medium" w:cs="Canva Sans"/>
                <w:color w:val="000000"/>
                <w:sz w:val="20"/>
                <w:szCs w:val="20"/>
              </w:rPr>
              <w:t xml:space="preserve"> </w:t>
            </w:r>
          </w:p>
        </w:tc>
        <w:tc>
          <w:tcPr>
            <w:tcW w:w="7200" w:type="dxa"/>
            <w:tcBorders>
              <w:top w:val="single" w:sz="4" w:space="0" w:color="auto"/>
              <w:bottom w:val="single" w:sz="4" w:space="0" w:color="auto"/>
            </w:tcBorders>
            <w:tcMar>
              <w:top w:w="180" w:type="dxa"/>
              <w:left w:w="180" w:type="dxa"/>
              <w:bottom w:w="180" w:type="dxa"/>
              <w:right w:w="180" w:type="dxa"/>
            </w:tcMar>
          </w:tcPr>
          <w:p w14:paraId="299A9DB5"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Label in correct language, request large print label, request pictures on pill bottle </w:t>
            </w:r>
          </w:p>
        </w:tc>
      </w:tr>
      <w:tr w:rsidR="002D6BB9" w:rsidRPr="007622BF" w14:paraId="12C0F5F0" w14:textId="77777777" w:rsidTr="00E26DD2">
        <w:tc>
          <w:tcPr>
            <w:tcW w:w="3420" w:type="dxa"/>
            <w:tcBorders>
              <w:top w:val="single" w:sz="4" w:space="0" w:color="auto"/>
              <w:bottom w:val="single" w:sz="4" w:space="0" w:color="auto"/>
            </w:tcBorders>
            <w:tcMar>
              <w:top w:w="180" w:type="dxa"/>
              <w:left w:w="180" w:type="dxa"/>
              <w:bottom w:w="180" w:type="dxa"/>
              <w:right w:w="180" w:type="dxa"/>
            </w:tcMar>
          </w:tcPr>
          <w:p w14:paraId="5AC7F492" w14:textId="77777777" w:rsidR="002D6BB9" w:rsidRPr="007622BF" w:rsidRDefault="00000000" w:rsidP="004A46AB">
            <w:pPr>
              <w:widowControl w:val="0"/>
              <w:spacing w:after="0" w:line="240" w:lineRule="auto"/>
              <w:rPr>
                <w:rFonts w:ascii="BentonSans Medium" w:hAnsi="BentonSans Medium"/>
                <w:sz w:val="20"/>
                <w:szCs w:val="20"/>
              </w:rPr>
            </w:pPr>
            <w:r w:rsidRPr="007622BF">
              <w:rPr>
                <w:rFonts w:ascii="BentonSans Medium" w:eastAsia="Canva Sans Bold" w:hAnsi="BentonSans Medium" w:cs="Canva Sans Bold"/>
                <w:color w:val="000000"/>
                <w:sz w:val="20"/>
                <w:szCs w:val="20"/>
              </w:rPr>
              <w:t>Liquid is hard to dose due to small or unusual volume</w:t>
            </w:r>
            <w:r w:rsidRPr="007622BF">
              <w:rPr>
                <w:rFonts w:ascii="BentonSans Medium" w:eastAsia="Canva Sans" w:hAnsi="BentonSans Medium" w:cs="Canva Sans"/>
                <w:color w:val="000000"/>
                <w:sz w:val="20"/>
                <w:szCs w:val="20"/>
              </w:rPr>
              <w:t xml:space="preserve"> </w:t>
            </w:r>
          </w:p>
        </w:tc>
        <w:tc>
          <w:tcPr>
            <w:tcW w:w="7200" w:type="dxa"/>
            <w:tcBorders>
              <w:top w:val="single" w:sz="4" w:space="0" w:color="auto"/>
              <w:bottom w:val="single" w:sz="4" w:space="0" w:color="auto"/>
            </w:tcBorders>
            <w:tcMar>
              <w:top w:w="180" w:type="dxa"/>
              <w:left w:w="180" w:type="dxa"/>
              <w:bottom w:w="180" w:type="dxa"/>
              <w:right w:w="180" w:type="dxa"/>
            </w:tcMar>
          </w:tcPr>
          <w:p w14:paraId="43FE6DA4"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Round up dose to nearest full </w:t>
            </w:r>
            <w:proofErr w:type="gramStart"/>
            <w:r w:rsidRPr="007622BF">
              <w:rPr>
                <w:rFonts w:ascii="BentonSans Book" w:eastAsia="Canva Sans" w:hAnsi="BentonSans Book" w:cs="Canva Sans"/>
                <w:color w:val="000000"/>
                <w:sz w:val="20"/>
                <w:szCs w:val="20"/>
              </w:rPr>
              <w:t>mL</w:t>
            </w:r>
            <w:proofErr w:type="gramEnd"/>
            <w:r w:rsidRPr="007622BF">
              <w:rPr>
                <w:rFonts w:ascii="BentonSans Book" w:eastAsia="Canva Sans" w:hAnsi="BentonSans Book" w:cs="Canva Sans"/>
                <w:color w:val="000000"/>
                <w:sz w:val="20"/>
                <w:szCs w:val="20"/>
              </w:rPr>
              <w:t xml:space="preserve"> if possible, prescribe appropriately sized dosage spoon or syringe to ease administration </w:t>
            </w:r>
          </w:p>
        </w:tc>
      </w:tr>
      <w:tr w:rsidR="002D6BB9" w:rsidRPr="007622BF" w14:paraId="15106DE8" w14:textId="77777777" w:rsidTr="00E26DD2">
        <w:tc>
          <w:tcPr>
            <w:tcW w:w="3420" w:type="dxa"/>
            <w:tcBorders>
              <w:top w:val="single" w:sz="4" w:space="0" w:color="auto"/>
              <w:bottom w:val="single" w:sz="4" w:space="0" w:color="auto"/>
            </w:tcBorders>
            <w:tcMar>
              <w:top w:w="180" w:type="dxa"/>
              <w:left w:w="180" w:type="dxa"/>
              <w:bottom w:w="180" w:type="dxa"/>
              <w:right w:w="180" w:type="dxa"/>
            </w:tcMar>
          </w:tcPr>
          <w:p w14:paraId="0FA7A4FF" w14:textId="77777777" w:rsidR="002D6BB9" w:rsidRPr="007622BF" w:rsidRDefault="00000000" w:rsidP="004A46AB">
            <w:pPr>
              <w:widowControl w:val="0"/>
              <w:spacing w:after="0" w:line="240" w:lineRule="auto"/>
              <w:rPr>
                <w:rFonts w:ascii="BentonSans Medium" w:hAnsi="BentonSans Medium"/>
                <w:sz w:val="20"/>
                <w:szCs w:val="20"/>
              </w:rPr>
            </w:pPr>
            <w:r w:rsidRPr="007622BF">
              <w:rPr>
                <w:rFonts w:ascii="BentonSans Medium" w:eastAsia="Canva Sans Bold" w:hAnsi="BentonSans Medium" w:cs="Canva Sans Bold"/>
                <w:color w:val="000000"/>
                <w:sz w:val="20"/>
                <w:szCs w:val="20"/>
              </w:rPr>
              <w:t>Difficulty remembering doses</w:t>
            </w:r>
            <w:r w:rsidRPr="007622BF">
              <w:rPr>
                <w:rFonts w:ascii="BentonSans Medium" w:eastAsia="Canva Sans" w:hAnsi="BentonSans Medium" w:cs="Canva Sans"/>
                <w:color w:val="000000"/>
                <w:sz w:val="20"/>
                <w:szCs w:val="20"/>
              </w:rPr>
              <w:t xml:space="preserve"> </w:t>
            </w:r>
          </w:p>
        </w:tc>
        <w:tc>
          <w:tcPr>
            <w:tcW w:w="7200" w:type="dxa"/>
            <w:tcBorders>
              <w:top w:val="single" w:sz="4" w:space="0" w:color="auto"/>
              <w:bottom w:val="single" w:sz="4" w:space="0" w:color="auto"/>
            </w:tcBorders>
            <w:tcMar>
              <w:top w:w="180" w:type="dxa"/>
              <w:left w:w="180" w:type="dxa"/>
              <w:bottom w:w="180" w:type="dxa"/>
              <w:right w:w="180" w:type="dxa"/>
            </w:tcMar>
          </w:tcPr>
          <w:p w14:paraId="2D7195F1"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Reduce dose frequency, especially mid-day doses (most often forgotten) </w:t>
            </w:r>
          </w:p>
          <w:p w14:paraId="79920714"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Schedule doses at most convenient time of day </w:t>
            </w:r>
          </w:p>
          <w:p w14:paraId="722683DF"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Visual reminders: pill bottle next to item used for established habit – next to toothbrush, makeup, or dinner plate. </w:t>
            </w:r>
          </w:p>
          <w:p w14:paraId="4A9DFAB9"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Post-it note on bathroom mirror or refrigerator </w:t>
            </w:r>
          </w:p>
          <w:p w14:paraId="29A856A9"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Pill minder box, phone alert, printer daily medication log or calendar </w:t>
            </w:r>
          </w:p>
          <w:p w14:paraId="3A1167DD"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Designated friend or family member to give verbal prompt </w:t>
            </w:r>
          </w:p>
          <w:p w14:paraId="48CA544A"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Adherence apps such as </w:t>
            </w:r>
            <w:proofErr w:type="spellStart"/>
            <w:r w:rsidRPr="007622BF">
              <w:rPr>
                <w:rFonts w:ascii="BentonSans Book" w:eastAsia="Canva Sans" w:hAnsi="BentonSans Book" w:cs="Canva Sans"/>
                <w:color w:val="000000"/>
                <w:sz w:val="20"/>
                <w:szCs w:val="20"/>
              </w:rPr>
              <w:t>Medisafe</w:t>
            </w:r>
            <w:proofErr w:type="spellEnd"/>
            <w:r w:rsidRPr="007622BF">
              <w:rPr>
                <w:rFonts w:ascii="BentonSans Book" w:eastAsia="Canva Sans" w:hAnsi="BentonSans Book" w:cs="Canva Sans"/>
                <w:color w:val="000000"/>
                <w:sz w:val="20"/>
                <w:szCs w:val="20"/>
              </w:rPr>
              <w:t xml:space="preserve">, </w:t>
            </w:r>
            <w:proofErr w:type="spellStart"/>
            <w:r w:rsidRPr="007622BF">
              <w:rPr>
                <w:rFonts w:ascii="BentonSans Book" w:eastAsia="Canva Sans" w:hAnsi="BentonSans Book" w:cs="Canva Sans"/>
                <w:color w:val="000000"/>
                <w:sz w:val="20"/>
                <w:szCs w:val="20"/>
              </w:rPr>
              <w:t>Medhelper</w:t>
            </w:r>
            <w:proofErr w:type="spellEnd"/>
            <w:r w:rsidRPr="007622BF">
              <w:rPr>
                <w:rFonts w:ascii="BentonSans Book" w:eastAsia="Canva Sans" w:hAnsi="BentonSans Book" w:cs="Canva Sans"/>
                <w:color w:val="000000"/>
                <w:sz w:val="20"/>
                <w:szCs w:val="20"/>
              </w:rPr>
              <w:t xml:space="preserve"> </w:t>
            </w:r>
          </w:p>
        </w:tc>
      </w:tr>
      <w:tr w:rsidR="002D6BB9" w:rsidRPr="007622BF" w14:paraId="4F0A88C3" w14:textId="77777777" w:rsidTr="00E26DD2">
        <w:tc>
          <w:tcPr>
            <w:tcW w:w="3420" w:type="dxa"/>
            <w:tcBorders>
              <w:top w:val="single" w:sz="4" w:space="0" w:color="auto"/>
              <w:bottom w:val="single" w:sz="4" w:space="0" w:color="auto"/>
            </w:tcBorders>
            <w:tcMar>
              <w:top w:w="180" w:type="dxa"/>
              <w:left w:w="180" w:type="dxa"/>
              <w:bottom w:w="180" w:type="dxa"/>
              <w:right w:w="180" w:type="dxa"/>
            </w:tcMar>
          </w:tcPr>
          <w:p w14:paraId="32551AA6" w14:textId="77777777" w:rsidR="002D6BB9" w:rsidRPr="007622BF" w:rsidRDefault="00000000" w:rsidP="004A46AB">
            <w:pPr>
              <w:widowControl w:val="0"/>
              <w:spacing w:after="0" w:line="240" w:lineRule="auto"/>
              <w:rPr>
                <w:rFonts w:ascii="BentonSans Medium" w:hAnsi="BentonSans Medium"/>
                <w:sz w:val="20"/>
                <w:szCs w:val="20"/>
              </w:rPr>
            </w:pPr>
            <w:r w:rsidRPr="007622BF">
              <w:rPr>
                <w:rFonts w:ascii="BentonSans Medium" w:eastAsia="Canva Sans Bold" w:hAnsi="BentonSans Medium" w:cs="Canva Sans Bold"/>
                <w:color w:val="000000"/>
                <w:sz w:val="20"/>
                <w:szCs w:val="20"/>
              </w:rPr>
              <w:t>Child is not adherent</w:t>
            </w:r>
            <w:r w:rsidRPr="007622BF">
              <w:rPr>
                <w:rFonts w:ascii="BentonSans Medium" w:eastAsia="Canva Sans" w:hAnsi="BentonSans Medium" w:cs="Canva Sans"/>
                <w:color w:val="000000"/>
                <w:sz w:val="20"/>
                <w:szCs w:val="20"/>
              </w:rPr>
              <w:t xml:space="preserve"> </w:t>
            </w:r>
          </w:p>
        </w:tc>
        <w:tc>
          <w:tcPr>
            <w:tcW w:w="7200" w:type="dxa"/>
            <w:tcBorders>
              <w:top w:val="single" w:sz="4" w:space="0" w:color="auto"/>
              <w:bottom w:val="single" w:sz="4" w:space="0" w:color="auto"/>
            </w:tcBorders>
            <w:tcMar>
              <w:top w:w="180" w:type="dxa"/>
              <w:left w:w="180" w:type="dxa"/>
              <w:bottom w:w="180" w:type="dxa"/>
              <w:right w:w="180" w:type="dxa"/>
            </w:tcMar>
          </w:tcPr>
          <w:p w14:paraId="05EC2315"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Improve palatability (see table 1), enlist child as a helper to remind parents when dose is due, brainstorm a home incentive program to reward medication adherence </w:t>
            </w:r>
          </w:p>
        </w:tc>
      </w:tr>
      <w:tr w:rsidR="002D6BB9" w:rsidRPr="007622BF" w14:paraId="69017041" w14:textId="77777777" w:rsidTr="00E26DD2">
        <w:tc>
          <w:tcPr>
            <w:tcW w:w="3420" w:type="dxa"/>
            <w:tcBorders>
              <w:top w:val="single" w:sz="4" w:space="0" w:color="auto"/>
              <w:bottom w:val="single" w:sz="4" w:space="0" w:color="auto"/>
            </w:tcBorders>
            <w:tcMar>
              <w:top w:w="180" w:type="dxa"/>
              <w:left w:w="180" w:type="dxa"/>
              <w:bottom w:w="180" w:type="dxa"/>
              <w:right w:w="180" w:type="dxa"/>
            </w:tcMar>
          </w:tcPr>
          <w:p w14:paraId="622D7A27" w14:textId="77777777" w:rsidR="002D6BB9" w:rsidRPr="007622BF" w:rsidRDefault="00000000" w:rsidP="004A46AB">
            <w:pPr>
              <w:widowControl w:val="0"/>
              <w:spacing w:after="0" w:line="240" w:lineRule="auto"/>
              <w:rPr>
                <w:rFonts w:ascii="BentonSans Medium" w:hAnsi="BentonSans Medium"/>
                <w:sz w:val="20"/>
                <w:szCs w:val="20"/>
              </w:rPr>
            </w:pPr>
            <w:r w:rsidRPr="007622BF">
              <w:rPr>
                <w:rFonts w:ascii="BentonSans Medium" w:eastAsia="Canva Sans Bold" w:hAnsi="BentonSans Medium" w:cs="Canva Sans Bold"/>
                <w:color w:val="000000"/>
                <w:sz w:val="20"/>
                <w:szCs w:val="20"/>
              </w:rPr>
              <w:t>Adolescent is not adherent</w:t>
            </w:r>
            <w:r w:rsidRPr="007622BF">
              <w:rPr>
                <w:rFonts w:ascii="BentonSans Medium" w:eastAsia="Canva Sans" w:hAnsi="BentonSans Medium" w:cs="Canva Sans"/>
                <w:color w:val="000000"/>
                <w:sz w:val="20"/>
                <w:szCs w:val="20"/>
              </w:rPr>
              <w:t xml:space="preserve"> </w:t>
            </w:r>
          </w:p>
        </w:tc>
        <w:tc>
          <w:tcPr>
            <w:tcW w:w="7200" w:type="dxa"/>
            <w:tcBorders>
              <w:top w:val="single" w:sz="4" w:space="0" w:color="auto"/>
              <w:bottom w:val="single" w:sz="4" w:space="0" w:color="auto"/>
            </w:tcBorders>
            <w:tcMar>
              <w:top w:w="180" w:type="dxa"/>
              <w:left w:w="180" w:type="dxa"/>
              <w:bottom w:w="180" w:type="dxa"/>
              <w:right w:w="180" w:type="dxa"/>
            </w:tcMar>
          </w:tcPr>
          <w:p w14:paraId="05B417CB" w14:textId="77777777" w:rsidR="002D6BB9" w:rsidRPr="007622BF" w:rsidRDefault="00000000" w:rsidP="004A46AB">
            <w:pPr>
              <w:widowControl w:val="0"/>
              <w:spacing w:after="0" w:line="240" w:lineRule="auto"/>
              <w:rPr>
                <w:rFonts w:ascii="BentonSans Book" w:hAnsi="BentonSans Book"/>
                <w:sz w:val="20"/>
                <w:szCs w:val="20"/>
              </w:rPr>
            </w:pPr>
            <w:r w:rsidRPr="007622BF">
              <w:rPr>
                <w:rFonts w:ascii="BentonSans Book" w:eastAsia="Canva Sans" w:hAnsi="BentonSans Book" w:cs="Canva Sans"/>
                <w:color w:val="000000"/>
                <w:sz w:val="20"/>
                <w:szCs w:val="20"/>
              </w:rPr>
              <w:t xml:space="preserve">Counsel teen alone without being judgmental, normalize missed doses, minimize social stigma (i.e. don’t schedule doses when peers may observe) </w:t>
            </w:r>
          </w:p>
        </w:tc>
      </w:tr>
    </w:tbl>
    <w:p w14:paraId="773C5F93" w14:textId="2DE75B3B" w:rsidR="002D6BB9" w:rsidRPr="004A46AB" w:rsidRDefault="007622BF" w:rsidP="004A46AB">
      <w:pPr>
        <w:widowControl w:val="0"/>
        <w:spacing w:after="0" w:line="240" w:lineRule="auto"/>
        <w:rPr>
          <w:rFonts w:ascii="BentonSans Medium" w:hAnsi="BentonSans Medium"/>
        </w:rPr>
      </w:pPr>
      <w:r>
        <w:rPr>
          <w:rFonts w:ascii="Canva Sans Bold" w:eastAsia="Canva Sans Bold" w:hAnsi="Canva Sans Bold" w:cs="Canva Sans Bold"/>
          <w:b/>
          <w:bCs/>
          <w:color w:val="000000"/>
          <w:sz w:val="26"/>
          <w:szCs w:val="26"/>
        </w:rPr>
        <w:lastRenderedPageBreak/>
        <w:br/>
      </w:r>
      <w:r w:rsidRPr="004A46AB">
        <w:rPr>
          <w:rFonts w:ascii="BentonSans Medium" w:eastAsia="Canva Sans Bold" w:hAnsi="BentonSans Medium" w:cs="Canva Sans Bold"/>
          <w:color w:val="000000"/>
        </w:rPr>
        <w:t>Helpful Resources for Providers</w:t>
      </w:r>
      <w:r w:rsidRPr="004A46AB">
        <w:rPr>
          <w:rFonts w:ascii="BentonSans Medium" w:eastAsia="Canva Sans" w:hAnsi="BentonSans Medium" w:cs="Canva Sans"/>
          <w:color w:val="000000"/>
        </w:rPr>
        <w:t xml:space="preserve"> </w:t>
      </w:r>
    </w:p>
    <w:p w14:paraId="7D8381CA" w14:textId="60DD0063" w:rsidR="00FF5CBB" w:rsidRPr="00FF5CBB" w:rsidRDefault="00FF5CBB" w:rsidP="004A46AB">
      <w:pPr>
        <w:widowControl w:val="0"/>
        <w:numPr>
          <w:ilvl w:val="0"/>
          <w:numId w:val="3"/>
        </w:numPr>
        <w:spacing w:after="0" w:line="240" w:lineRule="auto"/>
        <w:rPr>
          <w:rFonts w:ascii="BentonSans Book" w:hAnsi="BentonSans Book"/>
          <w:sz w:val="21"/>
          <w:szCs w:val="21"/>
        </w:rPr>
      </w:pPr>
      <w:r>
        <w:rPr>
          <w:rFonts w:ascii="BentonSans Book" w:eastAsia="Canva Sans" w:hAnsi="BentonSans Book" w:cs="Canva Sans"/>
          <w:color w:val="000000"/>
          <w:sz w:val="21"/>
          <w:szCs w:val="21"/>
        </w:rPr>
        <w:t xml:space="preserve">Indiana Be Happy Program (free provider-to-provider </w:t>
      </w:r>
      <w:proofErr w:type="gramStart"/>
      <w:r>
        <w:rPr>
          <w:rFonts w:ascii="BentonSans Book" w:eastAsia="Canva Sans" w:hAnsi="BentonSans Book" w:cs="Canva Sans"/>
          <w:color w:val="000000"/>
          <w:sz w:val="21"/>
          <w:szCs w:val="21"/>
        </w:rPr>
        <w:t xml:space="preserve">consultation)  </w:t>
      </w:r>
      <w:r w:rsidRPr="00FF5CBB">
        <w:rPr>
          <w:rFonts w:ascii="BentonSans Book" w:eastAsia="Canva Sans" w:hAnsi="BentonSans Book" w:cs="Canva Sans"/>
          <w:color w:val="000000"/>
          <w:sz w:val="21"/>
          <w:szCs w:val="21"/>
        </w:rPr>
        <w:t>317</w:t>
      </w:r>
      <w:proofErr w:type="gramEnd"/>
      <w:r w:rsidRPr="00FF5CBB">
        <w:rPr>
          <w:rFonts w:ascii="BentonSans Book" w:eastAsia="Canva Sans" w:hAnsi="BentonSans Book" w:cs="Canva Sans"/>
          <w:color w:val="000000"/>
          <w:sz w:val="21"/>
          <w:szCs w:val="21"/>
        </w:rPr>
        <w:t>-278-7700</w:t>
      </w:r>
      <w:r>
        <w:rPr>
          <w:rFonts w:ascii="BentonSans Book" w:eastAsia="Canva Sans" w:hAnsi="BentonSans Book" w:cs="Canva Sans"/>
          <w:color w:val="000000"/>
          <w:sz w:val="21"/>
          <w:szCs w:val="21"/>
        </w:rPr>
        <w:t>, medicine.iu.edu/</w:t>
      </w:r>
      <w:proofErr w:type="spellStart"/>
      <w:r>
        <w:rPr>
          <w:rFonts w:ascii="BentonSans Book" w:eastAsia="Canva Sans" w:hAnsi="BentonSans Book" w:cs="Canva Sans"/>
          <w:color w:val="000000"/>
          <w:sz w:val="21"/>
          <w:szCs w:val="21"/>
        </w:rPr>
        <w:t>behappy</w:t>
      </w:r>
      <w:proofErr w:type="spellEnd"/>
    </w:p>
    <w:p w14:paraId="622B952B" w14:textId="4BBF4821" w:rsidR="002D6BB9" w:rsidRPr="004A46AB" w:rsidRDefault="00000000" w:rsidP="004A46AB">
      <w:pPr>
        <w:widowControl w:val="0"/>
        <w:numPr>
          <w:ilvl w:val="0"/>
          <w:numId w:val="3"/>
        </w:numPr>
        <w:spacing w:after="0" w:line="240" w:lineRule="auto"/>
        <w:rPr>
          <w:rFonts w:ascii="BentonSans Book" w:hAnsi="BentonSans Book"/>
          <w:sz w:val="21"/>
          <w:szCs w:val="21"/>
        </w:rPr>
      </w:pPr>
      <w:r w:rsidRPr="004A46AB">
        <w:rPr>
          <w:rFonts w:ascii="BentonSans Book" w:eastAsia="Canva Sans" w:hAnsi="BentonSans Book" w:cs="Canva Sans"/>
          <w:color w:val="000000"/>
          <w:sz w:val="21"/>
          <w:szCs w:val="21"/>
        </w:rPr>
        <w:t xml:space="preserve">Brown M, </w:t>
      </w:r>
      <w:proofErr w:type="spellStart"/>
      <w:r w:rsidRPr="004A46AB">
        <w:rPr>
          <w:rFonts w:ascii="BentonSans Book" w:eastAsia="Canva Sans" w:hAnsi="BentonSans Book" w:cs="Canva Sans"/>
          <w:color w:val="000000"/>
          <w:sz w:val="21"/>
          <w:szCs w:val="21"/>
        </w:rPr>
        <w:t>Sinsky</w:t>
      </w:r>
      <w:proofErr w:type="spellEnd"/>
      <w:r w:rsidRPr="004A46AB">
        <w:rPr>
          <w:rFonts w:ascii="BentonSans Book" w:eastAsia="Canva Sans" w:hAnsi="BentonSans Book" w:cs="Canva Sans"/>
          <w:color w:val="000000"/>
          <w:sz w:val="21"/>
          <w:szCs w:val="21"/>
        </w:rPr>
        <w:t xml:space="preserve"> C. accessed April 16, 2024. Medication adherence: improve patient outcomes and reduce costs. AMA. Edhub.ama-assn.org/steps-forward/module/2702595?resultClick=1&amp;bypassSolvd=J_2702595. </w:t>
      </w:r>
    </w:p>
    <w:p w14:paraId="3D067BBF" w14:textId="77777777" w:rsidR="002D6BB9" w:rsidRPr="004A46AB" w:rsidRDefault="00000000" w:rsidP="004A46AB">
      <w:pPr>
        <w:widowControl w:val="0"/>
        <w:numPr>
          <w:ilvl w:val="0"/>
          <w:numId w:val="3"/>
        </w:numPr>
        <w:spacing w:after="0" w:line="240" w:lineRule="auto"/>
        <w:rPr>
          <w:rFonts w:ascii="BentonSans Book" w:hAnsi="BentonSans Book"/>
          <w:sz w:val="21"/>
          <w:szCs w:val="21"/>
        </w:rPr>
      </w:pPr>
      <w:r w:rsidRPr="004A46AB">
        <w:rPr>
          <w:rFonts w:ascii="BentonSans Book" w:eastAsia="Canva Sans" w:hAnsi="BentonSans Book" w:cs="Canva Sans"/>
          <w:color w:val="000000"/>
          <w:sz w:val="21"/>
          <w:szCs w:val="21"/>
        </w:rPr>
        <w:t xml:space="preserve">Chappell Faye. Accessed April 1, 2024. Medication adherence in children remains a challenge. Prescriber.co.uk. </w:t>
      </w:r>
    </w:p>
    <w:p w14:paraId="3CC62228" w14:textId="0C8FF89F" w:rsidR="002D6BB9" w:rsidRPr="004A46AB" w:rsidRDefault="00000000" w:rsidP="004A46AB">
      <w:pPr>
        <w:widowControl w:val="0"/>
        <w:numPr>
          <w:ilvl w:val="0"/>
          <w:numId w:val="3"/>
        </w:numPr>
        <w:spacing w:after="0" w:line="240" w:lineRule="auto"/>
        <w:rPr>
          <w:rFonts w:ascii="BentonSans Book" w:hAnsi="BentonSans Book"/>
          <w:sz w:val="21"/>
          <w:szCs w:val="21"/>
        </w:rPr>
      </w:pPr>
      <w:r w:rsidRPr="004A46AB">
        <w:rPr>
          <w:rFonts w:ascii="BentonSans Book" w:eastAsia="Canva Sans" w:hAnsi="BentonSans Book" w:cs="Canva Sans"/>
          <w:color w:val="000000"/>
          <w:sz w:val="21"/>
          <w:szCs w:val="21"/>
        </w:rPr>
        <w:t xml:space="preserve">Gardiner P et al., Promoting medication adherence in children. Accessed April 1. 2024. Am Fam physician 74:79308, 800, 2006. </w:t>
      </w:r>
      <w:r w:rsidRPr="004A46AB">
        <w:rPr>
          <w:rFonts w:ascii="BentonSans Book" w:eastAsia="Canva Sans" w:hAnsi="BentonSans Book" w:cs="Canva Sans"/>
          <w:color w:val="1A62FF"/>
          <w:sz w:val="21"/>
          <w:szCs w:val="21"/>
          <w:u w:val="single" w:color="1A62FF"/>
        </w:rPr>
        <w:t>www.aafp.org/afp</w:t>
      </w:r>
      <w:r w:rsidRPr="004A46AB">
        <w:rPr>
          <w:rFonts w:ascii="BentonSans Book" w:eastAsia="Canva Sans" w:hAnsi="BentonSans Book" w:cs="Canva Sans"/>
          <w:color w:val="000000"/>
          <w:sz w:val="21"/>
          <w:szCs w:val="21"/>
        </w:rPr>
        <w:t xml:space="preserve">. </w:t>
      </w:r>
    </w:p>
    <w:p w14:paraId="18193538" w14:textId="77777777" w:rsidR="002D6BB9" w:rsidRPr="004A46AB" w:rsidRDefault="00000000" w:rsidP="004A46AB">
      <w:pPr>
        <w:widowControl w:val="0"/>
        <w:numPr>
          <w:ilvl w:val="0"/>
          <w:numId w:val="3"/>
        </w:numPr>
        <w:spacing w:after="0" w:line="240" w:lineRule="auto"/>
        <w:rPr>
          <w:rFonts w:ascii="BentonSans Book" w:hAnsi="BentonSans Book"/>
          <w:sz w:val="21"/>
          <w:szCs w:val="21"/>
        </w:rPr>
      </w:pPr>
      <w:r w:rsidRPr="004A46AB">
        <w:rPr>
          <w:rFonts w:ascii="BentonSans Book" w:eastAsia="Canva Sans" w:hAnsi="BentonSans Book" w:cs="Canva Sans"/>
          <w:color w:val="000000"/>
          <w:sz w:val="21"/>
          <w:szCs w:val="21"/>
        </w:rPr>
        <w:t xml:space="preserve">Shea, SC. Improving medication adherence: how to talk to patients about their medications. Philadelphia: Lippincott Williams &amp; Wilkins, 2006.  </w:t>
      </w:r>
    </w:p>
    <w:p w14:paraId="1A1B7346" w14:textId="77777777" w:rsidR="002D6BB9" w:rsidRPr="004A46AB" w:rsidRDefault="00000000" w:rsidP="004A46AB">
      <w:pPr>
        <w:widowControl w:val="0"/>
        <w:numPr>
          <w:ilvl w:val="0"/>
          <w:numId w:val="3"/>
        </w:numPr>
        <w:spacing w:after="0" w:line="240" w:lineRule="auto"/>
        <w:rPr>
          <w:rFonts w:ascii="BentonSans Book" w:hAnsi="BentonSans Book"/>
          <w:sz w:val="21"/>
          <w:szCs w:val="21"/>
        </w:rPr>
      </w:pPr>
      <w:r w:rsidRPr="004A46AB">
        <w:rPr>
          <w:rFonts w:ascii="BentonSans Book" w:eastAsia="Canva Sans" w:hAnsi="BentonSans Book" w:cs="Canva Sans"/>
          <w:color w:val="000000"/>
          <w:sz w:val="21"/>
          <w:szCs w:val="21"/>
        </w:rPr>
        <w:t xml:space="preserve">Taddeo D et al., Adherence to treatment in adolescents. </w:t>
      </w:r>
      <w:proofErr w:type="spellStart"/>
      <w:r w:rsidRPr="004A46AB">
        <w:rPr>
          <w:rFonts w:ascii="BentonSans Book" w:eastAsia="Canva Sans" w:hAnsi="BentonSans Book" w:cs="Canva Sans"/>
          <w:color w:val="000000"/>
          <w:sz w:val="21"/>
          <w:szCs w:val="21"/>
        </w:rPr>
        <w:t>Paediatr</w:t>
      </w:r>
      <w:proofErr w:type="spellEnd"/>
      <w:r w:rsidRPr="004A46AB">
        <w:rPr>
          <w:rFonts w:ascii="BentonSans Book" w:eastAsia="Canva Sans" w:hAnsi="BentonSans Book" w:cs="Canva Sans"/>
          <w:color w:val="000000"/>
          <w:sz w:val="21"/>
          <w:szCs w:val="21"/>
        </w:rPr>
        <w:t xml:space="preserve"> Child Health 13(1):19-24, 2008. </w:t>
      </w:r>
    </w:p>
    <w:p w14:paraId="4EB021B8" w14:textId="77777777" w:rsidR="00E26DD2" w:rsidRDefault="007622BF" w:rsidP="004A46AB">
      <w:pPr>
        <w:widowControl w:val="0"/>
        <w:spacing w:after="0" w:line="240" w:lineRule="auto"/>
        <w:rPr>
          <w:rFonts w:ascii="Canva Sans" w:eastAsia="Canva Sans" w:hAnsi="Canva Sans" w:cs="Canva Sans"/>
          <w:color w:val="000000"/>
          <w:sz w:val="20"/>
          <w:szCs w:val="20"/>
        </w:rPr>
      </w:pPr>
      <w:r>
        <w:rPr>
          <w:rFonts w:ascii="BentonSans Regular" w:eastAsia="Canva Sans Bold" w:hAnsi="BentonSans Regular" w:cs="Canva Sans Bold"/>
          <w:b/>
          <w:bCs/>
          <w:color w:val="000000"/>
          <w:sz w:val="22"/>
          <w:szCs w:val="22"/>
        </w:rPr>
        <w:br/>
      </w:r>
      <w:r w:rsidRPr="004A46AB">
        <w:rPr>
          <w:rFonts w:ascii="BentonSans Regular" w:eastAsia="Canva Sans Bold" w:hAnsi="BentonSans Regular" w:cs="Canva Sans Bold"/>
          <w:b/>
          <w:bCs/>
          <w:color w:val="000000"/>
        </w:rPr>
        <w:t>Acknowledgement</w:t>
      </w:r>
    </w:p>
    <w:p w14:paraId="2A21F44F" w14:textId="36D0C00C" w:rsidR="002D6BB9" w:rsidRPr="004A46AB" w:rsidRDefault="00FF5CBB" w:rsidP="004A46AB">
      <w:pPr>
        <w:widowControl w:val="0"/>
        <w:spacing w:after="0" w:line="240" w:lineRule="auto"/>
        <w:rPr>
          <w:sz w:val="21"/>
          <w:szCs w:val="21"/>
        </w:rPr>
      </w:pPr>
      <w:r>
        <w:rPr>
          <w:rFonts w:ascii="BentonSans Book" w:eastAsia="Arimo" w:hAnsi="BentonSans Book" w:cs="Arimo"/>
          <w:noProof/>
          <w:color w:val="000000"/>
          <w:sz w:val="21"/>
          <w:szCs w:val="21"/>
        </w:rPr>
        <w:drawing>
          <wp:anchor distT="0" distB="0" distL="114300" distR="114300" simplePos="0" relativeHeight="251659264" behindDoc="1" locked="0" layoutInCell="1" allowOverlap="1" wp14:anchorId="7D952E50" wp14:editId="6200E1A3">
            <wp:simplePos x="0" y="0"/>
            <wp:positionH relativeFrom="column">
              <wp:posOffset>3276600</wp:posOffset>
            </wp:positionH>
            <wp:positionV relativeFrom="paragraph">
              <wp:posOffset>706120</wp:posOffset>
            </wp:positionV>
            <wp:extent cx="2971165" cy="519430"/>
            <wp:effectExtent l="0" t="0" r="0" b="0"/>
            <wp:wrapNone/>
            <wp:docPr id="193268614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86146"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2971165" cy="519430"/>
                    </a:xfrm>
                    <a:prstGeom prst="rect">
                      <a:avLst/>
                    </a:prstGeom>
                  </pic:spPr>
                </pic:pic>
              </a:graphicData>
            </a:graphic>
            <wp14:sizeRelH relativeFrom="page">
              <wp14:pctWidth>0</wp14:pctWidth>
            </wp14:sizeRelH>
            <wp14:sizeRelV relativeFrom="page">
              <wp14:pctHeight>0</wp14:pctHeight>
            </wp14:sizeRelV>
          </wp:anchor>
        </w:drawing>
      </w:r>
      <w:r>
        <w:rPr>
          <w:rFonts w:ascii="BentonSans Book" w:eastAsia="Arimo" w:hAnsi="BentonSans Book" w:cs="Arimo"/>
          <w:noProof/>
          <w:color w:val="000000"/>
          <w:sz w:val="21"/>
          <w:szCs w:val="21"/>
        </w:rPr>
        <w:drawing>
          <wp:anchor distT="0" distB="0" distL="114300" distR="114300" simplePos="0" relativeHeight="251658240" behindDoc="1" locked="0" layoutInCell="1" allowOverlap="1" wp14:anchorId="0628FFA9" wp14:editId="56DD1FA0">
            <wp:simplePos x="0" y="0"/>
            <wp:positionH relativeFrom="column">
              <wp:posOffset>821055</wp:posOffset>
            </wp:positionH>
            <wp:positionV relativeFrom="paragraph">
              <wp:posOffset>416560</wp:posOffset>
            </wp:positionV>
            <wp:extent cx="1982470" cy="1112520"/>
            <wp:effectExtent l="0" t="0" r="0" b="0"/>
            <wp:wrapNone/>
            <wp:docPr id="19197904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90444" name="Picture 1">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2470" cy="1112520"/>
                    </a:xfrm>
                    <a:prstGeom prst="rect">
                      <a:avLst/>
                    </a:prstGeom>
                  </pic:spPr>
                </pic:pic>
              </a:graphicData>
            </a:graphic>
            <wp14:sizeRelH relativeFrom="page">
              <wp14:pctWidth>0</wp14:pctWidth>
            </wp14:sizeRelH>
            <wp14:sizeRelV relativeFrom="page">
              <wp14:pctHeight>0</wp14:pctHeight>
            </wp14:sizeRelV>
          </wp:anchor>
        </w:drawing>
      </w:r>
      <w:r w:rsidR="007622BF" w:rsidRPr="004A46AB">
        <w:rPr>
          <w:rFonts w:ascii="BentonSans Book" w:eastAsia="Arimo" w:hAnsi="BentonSans Book" w:cs="Arimo"/>
          <w:color w:val="000000"/>
          <w:sz w:val="21"/>
          <w:szCs w:val="21"/>
        </w:rPr>
        <w:t>Drafted and reviewed by Dr. Kelda Walsh and Indiana Be Happy program staff with support from Indiana Division of Mental Health and Addiction, HRSA, and Riley Children’s Foundation.</w:t>
      </w:r>
      <w:r w:rsidR="007622BF" w:rsidRPr="004A46AB">
        <w:rPr>
          <w:rFonts w:ascii="Arimo" w:eastAsia="Arimo" w:hAnsi="Arimo" w:cs="Arimo"/>
          <w:color w:val="000000"/>
          <w:sz w:val="21"/>
          <w:szCs w:val="21"/>
        </w:rPr>
        <w:t xml:space="preserve">  </w:t>
      </w:r>
    </w:p>
    <w:sectPr w:rsidR="002D6BB9" w:rsidRPr="004A46AB" w:rsidSect="00E26DD2">
      <w:footerReference w:type="even" r:id="rId9"/>
      <w:footerReference w:type="default" r:id="rId10"/>
      <w:pgSz w:w="12240" w:h="1581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FBC1B" w14:textId="77777777" w:rsidR="00656998" w:rsidRDefault="00656998" w:rsidP="00E26DD2">
      <w:pPr>
        <w:spacing w:after="0" w:line="240" w:lineRule="auto"/>
      </w:pPr>
      <w:r>
        <w:separator/>
      </w:r>
    </w:p>
  </w:endnote>
  <w:endnote w:type="continuationSeparator" w:id="0">
    <w:p w14:paraId="4379345F" w14:textId="77777777" w:rsidR="00656998" w:rsidRDefault="00656998" w:rsidP="00E26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ntonSans Book">
    <w:panose1 w:val="02000404020000020004"/>
    <w:charset w:val="00"/>
    <w:family w:val="auto"/>
    <w:pitch w:val="variable"/>
    <w:sig w:usb0="00000087" w:usb1="00000000" w:usb2="00000000" w:usb3="00000000" w:csb0="00000093" w:csb1="00000000"/>
    <w:embedRegular r:id="rId1" w:fontKey="{FCD69EEA-FE1A-4F4A-BF86-3598616F0EDB}"/>
    <w:embedBold r:id="rId2" w:fontKey="{E61CFCF0-C3BA-4B63-895D-B6428165B0D4}"/>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6FC5C7E8-DC50-40E3-8076-A791B7CA3379}"/>
  </w:font>
  <w:font w:name="BentonSans Regular">
    <w:panose1 w:val="02000503000000020004"/>
    <w:charset w:val="00"/>
    <w:family w:val="modern"/>
    <w:notTrueType/>
    <w:pitch w:val="variable"/>
    <w:sig w:usb0="00000087" w:usb1="00000000" w:usb2="00000000" w:usb3="00000000" w:csb0="00000093" w:csb1="00000000"/>
  </w:font>
  <w:font w:name="Arimo">
    <w:charset w:val="00"/>
    <w:family w:val="auto"/>
    <w:pitch w:val="default"/>
    <w:embedRegular r:id="rId4" w:fontKey="{28A0370E-E839-48CF-9DD4-8972FEE2B185}"/>
  </w:font>
  <w:font w:name="Canva Sans Bold">
    <w:charset w:val="00"/>
    <w:family w:val="auto"/>
    <w:pitch w:val="default"/>
    <w:embedRegular r:id="rId5" w:fontKey="{97E894C9-C957-4081-AFE6-4A5C1C908725}"/>
    <w:embedBold r:id="rId6" w:fontKey="{7FCDEF76-B565-49E5-B88C-CA23A224FCCD}"/>
  </w:font>
  <w:font w:name="BentonSans Medium">
    <w:panose1 w:val="02000604020000020004"/>
    <w:charset w:val="00"/>
    <w:family w:val="auto"/>
    <w:pitch w:val="variable"/>
    <w:sig w:usb0="00000087" w:usb1="00000000" w:usb2="00000000" w:usb3="00000000" w:csb0="00000093" w:csb1="00000000"/>
    <w:embedRegular r:id="rId7" w:fontKey="{1031AECB-0397-4CC8-92C0-8E28D835B40E}"/>
  </w:font>
  <w:font w:name="Canva Sans">
    <w:charset w:val="00"/>
    <w:family w:val="auto"/>
    <w:pitch w:val="default"/>
    <w:embedRegular r:id="rId8" w:fontKey="{AC4191A8-6559-417C-AF21-B71566F443F7}"/>
  </w:font>
  <w:font w:name="MS Mincho">
    <w:altName w:val="ＭＳ 明朝"/>
    <w:panose1 w:val="02020609040205080304"/>
    <w:charset w:val="80"/>
    <w:family w:val="modern"/>
    <w:pitch w:val="fixed"/>
    <w:sig w:usb0="E00002FF" w:usb1="6AC7FDFB" w:usb2="08000012" w:usb3="00000000" w:csb0="0002009F" w:csb1="00000000"/>
    <w:embedRegular r:id="rId9" w:subsetted="1" w:fontKey="{780FF05A-E48F-4371-88FE-32A01C50B573}"/>
    <w:embedBold r:id="rId10" w:subsetted="1" w:fontKey="{D41F9BFC-A174-4E6D-A318-1EF64FCF954B}"/>
  </w:font>
  <w:font w:name="Canva Sans Italics">
    <w:charset w:val="00"/>
    <w:family w:val="auto"/>
    <w:pitch w:val="default"/>
    <w:embedItalic r:id="rId11" w:fontKey="{207142D1-CC58-48F8-8297-3B5A841FE7CB}"/>
  </w:font>
  <w:font w:name="Aptos Display">
    <w:charset w:val="00"/>
    <w:family w:val="swiss"/>
    <w:pitch w:val="variable"/>
    <w:sig w:usb0="20000287" w:usb1="00000003" w:usb2="00000000" w:usb3="00000000" w:csb0="0000019F" w:csb1="00000000"/>
    <w:embedRegular r:id="rId12" w:fontKey="{56CE99B1-C5E4-4348-8E32-7CF362B267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33248957"/>
      <w:docPartObj>
        <w:docPartGallery w:val="Page Numbers (Bottom of Page)"/>
        <w:docPartUnique/>
      </w:docPartObj>
    </w:sdtPr>
    <w:sdtContent>
      <w:p w14:paraId="5CCFEBB4" w14:textId="17670A0E" w:rsidR="00E26DD2" w:rsidRDefault="00E26DD2" w:rsidP="00EB30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29DE42" w14:textId="77777777" w:rsidR="00E26DD2" w:rsidRDefault="00E26DD2" w:rsidP="00E26DD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BentonSans Regular" w:hAnsi="BentonSans Regular"/>
        <w:sz w:val="20"/>
        <w:szCs w:val="20"/>
      </w:rPr>
      <w:id w:val="-2071260232"/>
      <w:docPartObj>
        <w:docPartGallery w:val="Page Numbers (Bottom of Page)"/>
        <w:docPartUnique/>
      </w:docPartObj>
    </w:sdtPr>
    <w:sdtContent>
      <w:p w14:paraId="3CDBD2C2" w14:textId="7B53A020" w:rsidR="00E26DD2" w:rsidRPr="00E26DD2" w:rsidRDefault="00E26DD2" w:rsidP="00EB3094">
        <w:pPr>
          <w:pStyle w:val="Footer"/>
          <w:framePr w:wrap="none" w:vAnchor="text" w:hAnchor="margin" w:xAlign="right" w:y="1"/>
          <w:rPr>
            <w:rStyle w:val="PageNumber"/>
            <w:rFonts w:ascii="BentonSans Regular" w:hAnsi="BentonSans Regular"/>
            <w:sz w:val="20"/>
            <w:szCs w:val="20"/>
          </w:rPr>
        </w:pPr>
        <w:r w:rsidRPr="00E26DD2">
          <w:rPr>
            <w:rStyle w:val="PageNumber"/>
            <w:rFonts w:ascii="BentonSans Regular" w:hAnsi="BentonSans Regular"/>
            <w:sz w:val="20"/>
            <w:szCs w:val="20"/>
          </w:rPr>
          <w:fldChar w:fldCharType="begin"/>
        </w:r>
        <w:r w:rsidRPr="00E26DD2">
          <w:rPr>
            <w:rStyle w:val="PageNumber"/>
            <w:rFonts w:ascii="BentonSans Regular" w:hAnsi="BentonSans Regular"/>
            <w:sz w:val="20"/>
            <w:szCs w:val="20"/>
          </w:rPr>
          <w:instrText xml:space="preserve"> PAGE </w:instrText>
        </w:r>
        <w:r w:rsidRPr="00E26DD2">
          <w:rPr>
            <w:rStyle w:val="PageNumber"/>
            <w:rFonts w:ascii="BentonSans Regular" w:hAnsi="BentonSans Regular"/>
            <w:sz w:val="20"/>
            <w:szCs w:val="20"/>
          </w:rPr>
          <w:fldChar w:fldCharType="separate"/>
        </w:r>
        <w:r w:rsidRPr="00E26DD2">
          <w:rPr>
            <w:rStyle w:val="PageNumber"/>
            <w:rFonts w:ascii="BentonSans Regular" w:hAnsi="BentonSans Regular"/>
            <w:noProof/>
            <w:sz w:val="20"/>
            <w:szCs w:val="20"/>
          </w:rPr>
          <w:t>1</w:t>
        </w:r>
        <w:r w:rsidRPr="00E26DD2">
          <w:rPr>
            <w:rStyle w:val="PageNumber"/>
            <w:rFonts w:ascii="BentonSans Regular" w:hAnsi="BentonSans Regular"/>
            <w:sz w:val="20"/>
            <w:szCs w:val="20"/>
          </w:rPr>
          <w:fldChar w:fldCharType="end"/>
        </w:r>
      </w:p>
    </w:sdtContent>
  </w:sdt>
  <w:p w14:paraId="17CCEDF1" w14:textId="77777777" w:rsidR="00E26DD2" w:rsidRDefault="00E26DD2" w:rsidP="00E26DD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D13BF" w14:textId="77777777" w:rsidR="00656998" w:rsidRDefault="00656998" w:rsidP="00E26DD2">
      <w:pPr>
        <w:spacing w:after="0" w:line="240" w:lineRule="auto"/>
      </w:pPr>
      <w:r>
        <w:separator/>
      </w:r>
    </w:p>
  </w:footnote>
  <w:footnote w:type="continuationSeparator" w:id="0">
    <w:p w14:paraId="2ACBAD59" w14:textId="77777777" w:rsidR="00656998" w:rsidRDefault="00656998" w:rsidP="00E26D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616910"/>
    <w:multiLevelType w:val="hybridMultilevel"/>
    <w:tmpl w:val="FEC44174"/>
    <w:lvl w:ilvl="0" w:tplc="840AF2BE">
      <w:start w:val="1"/>
      <w:numFmt w:val="decimal"/>
      <w:lvlText w:val="%1."/>
      <w:lvlJc w:val="left"/>
      <w:pPr>
        <w:ind w:left="400" w:hanging="360"/>
      </w:pPr>
      <w:rPr>
        <w:rFonts w:ascii="BentonSans Book" w:hAnsi="BentonSans Book" w:hint="default"/>
        <w:b/>
        <w:bCs/>
      </w:rPr>
    </w:lvl>
    <w:lvl w:ilvl="1" w:tplc="0A442886">
      <w:start w:val="1"/>
      <w:numFmt w:val="lowerLetter"/>
      <w:lvlText w:val="%2."/>
      <w:lvlJc w:val="left"/>
      <w:pPr>
        <w:ind w:left="800" w:hanging="360"/>
      </w:pPr>
    </w:lvl>
    <w:lvl w:ilvl="2" w:tplc="E3142598">
      <w:start w:val="1"/>
      <w:numFmt w:val="lowerRoman"/>
      <w:lvlText w:val="%3."/>
      <w:lvlJc w:val="right"/>
      <w:pPr>
        <w:ind w:left="1200" w:hanging="180"/>
      </w:pPr>
    </w:lvl>
    <w:lvl w:ilvl="3" w:tplc="91921E52">
      <w:start w:val="1"/>
      <w:numFmt w:val="decimal"/>
      <w:lvlText w:val="%4."/>
      <w:lvlJc w:val="left"/>
      <w:pPr>
        <w:ind w:left="1600" w:hanging="360"/>
      </w:pPr>
    </w:lvl>
    <w:lvl w:ilvl="4" w:tplc="973E9260">
      <w:start w:val="1"/>
      <w:numFmt w:val="lowerLetter"/>
      <w:lvlText w:val="%5."/>
      <w:lvlJc w:val="left"/>
      <w:pPr>
        <w:ind w:left="2000" w:hanging="360"/>
      </w:pPr>
    </w:lvl>
    <w:lvl w:ilvl="5" w:tplc="DDF24086">
      <w:start w:val="1"/>
      <w:numFmt w:val="lowerRoman"/>
      <w:lvlText w:val="%6."/>
      <w:lvlJc w:val="right"/>
      <w:pPr>
        <w:ind w:left="2400" w:hanging="180"/>
      </w:pPr>
    </w:lvl>
    <w:lvl w:ilvl="6" w:tplc="E8E4094A">
      <w:start w:val="1"/>
      <w:numFmt w:val="decimal"/>
      <w:lvlText w:val="%7."/>
      <w:lvlJc w:val="left"/>
      <w:pPr>
        <w:ind w:left="2800" w:hanging="360"/>
      </w:pPr>
    </w:lvl>
    <w:lvl w:ilvl="7" w:tplc="9A16A45E">
      <w:start w:val="1"/>
      <w:numFmt w:val="lowerLetter"/>
      <w:lvlText w:val="%8."/>
      <w:lvlJc w:val="left"/>
      <w:pPr>
        <w:ind w:left="3200" w:hanging="360"/>
      </w:pPr>
    </w:lvl>
    <w:lvl w:ilvl="8" w:tplc="4D2AA95C">
      <w:numFmt w:val="decimal"/>
      <w:lvlText w:val=""/>
      <w:lvlJc w:val="left"/>
    </w:lvl>
  </w:abstractNum>
  <w:abstractNum w:abstractNumId="1" w15:restartNumberingAfterBreak="0">
    <w:nsid w:val="3D4966CB"/>
    <w:multiLevelType w:val="hybridMultilevel"/>
    <w:tmpl w:val="87D6B26E"/>
    <w:lvl w:ilvl="0" w:tplc="97FAEE82">
      <w:start w:val="1"/>
      <w:numFmt w:val="bullet"/>
      <w:lvlText w:val=""/>
      <w:lvlJc w:val="left"/>
      <w:pPr>
        <w:ind w:left="400" w:hanging="360"/>
      </w:pPr>
      <w:rPr>
        <w:rFonts w:ascii="Symbol" w:hAnsi="Symbol"/>
      </w:rPr>
    </w:lvl>
    <w:lvl w:ilvl="1" w:tplc="927E9772">
      <w:start w:val="1"/>
      <w:numFmt w:val="bullet"/>
      <w:lvlText w:val="o"/>
      <w:lvlJc w:val="left"/>
      <w:pPr>
        <w:ind w:left="800" w:hanging="360"/>
      </w:pPr>
      <w:rPr>
        <w:rFonts w:ascii="Courier New" w:hAnsi="Courier New"/>
      </w:rPr>
    </w:lvl>
    <w:lvl w:ilvl="2" w:tplc="72803A00">
      <w:start w:val="1"/>
      <w:numFmt w:val="bullet"/>
      <w:lvlText w:val=""/>
      <w:lvlJc w:val="left"/>
      <w:pPr>
        <w:ind w:left="1200" w:hanging="360"/>
      </w:pPr>
      <w:rPr>
        <w:rFonts w:ascii="Wingdings" w:hAnsi="Wingdings"/>
      </w:rPr>
    </w:lvl>
    <w:lvl w:ilvl="3" w:tplc="84D08E64">
      <w:start w:val="1"/>
      <w:numFmt w:val="bullet"/>
      <w:lvlText w:val=""/>
      <w:lvlJc w:val="left"/>
      <w:pPr>
        <w:ind w:left="1600" w:hanging="360"/>
      </w:pPr>
      <w:rPr>
        <w:rFonts w:ascii="Symbol" w:hAnsi="Symbol"/>
      </w:rPr>
    </w:lvl>
    <w:lvl w:ilvl="4" w:tplc="154ECEE4">
      <w:start w:val="1"/>
      <w:numFmt w:val="bullet"/>
      <w:lvlText w:val="o"/>
      <w:lvlJc w:val="left"/>
      <w:pPr>
        <w:ind w:left="2000" w:hanging="360"/>
      </w:pPr>
      <w:rPr>
        <w:rFonts w:ascii="Courier New" w:hAnsi="Courier New"/>
      </w:rPr>
    </w:lvl>
    <w:lvl w:ilvl="5" w:tplc="9D741C3E">
      <w:start w:val="1"/>
      <w:numFmt w:val="bullet"/>
      <w:lvlText w:val=""/>
      <w:lvlJc w:val="left"/>
      <w:pPr>
        <w:ind w:left="2400" w:hanging="360"/>
      </w:pPr>
      <w:rPr>
        <w:rFonts w:ascii="Wingdings" w:hAnsi="Wingdings"/>
      </w:rPr>
    </w:lvl>
    <w:lvl w:ilvl="6" w:tplc="D1C651F8">
      <w:start w:val="1"/>
      <w:numFmt w:val="bullet"/>
      <w:lvlText w:val=""/>
      <w:lvlJc w:val="left"/>
      <w:pPr>
        <w:ind w:left="2800" w:hanging="360"/>
      </w:pPr>
      <w:rPr>
        <w:rFonts w:ascii="Symbol" w:hAnsi="Symbol"/>
      </w:rPr>
    </w:lvl>
    <w:lvl w:ilvl="7" w:tplc="2812A182">
      <w:start w:val="1"/>
      <w:numFmt w:val="bullet"/>
      <w:lvlText w:val="o"/>
      <w:lvlJc w:val="left"/>
      <w:pPr>
        <w:ind w:left="3200" w:hanging="360"/>
      </w:pPr>
      <w:rPr>
        <w:rFonts w:ascii="Courier New" w:hAnsi="Courier New"/>
      </w:rPr>
    </w:lvl>
    <w:lvl w:ilvl="8" w:tplc="838E68AE">
      <w:numFmt w:val="decimal"/>
      <w:lvlText w:val=""/>
      <w:lvlJc w:val="left"/>
    </w:lvl>
  </w:abstractNum>
  <w:abstractNum w:abstractNumId="2" w15:restartNumberingAfterBreak="0">
    <w:nsid w:val="46294B6C"/>
    <w:multiLevelType w:val="hybridMultilevel"/>
    <w:tmpl w:val="B2AE33B6"/>
    <w:lvl w:ilvl="0" w:tplc="53B8404E">
      <w:start w:val="1"/>
      <w:numFmt w:val="decimal"/>
      <w:lvlText w:val="%1."/>
      <w:lvlJc w:val="left"/>
      <w:pPr>
        <w:ind w:left="400" w:hanging="360"/>
      </w:pPr>
      <w:rPr>
        <w:rFonts w:ascii="BentonSans Book" w:hAnsi="BentonSans Book" w:hint="default"/>
        <w:b/>
        <w:bCs/>
      </w:rPr>
    </w:lvl>
    <w:lvl w:ilvl="1" w:tplc="CD6A1464">
      <w:start w:val="1"/>
      <w:numFmt w:val="lowerLetter"/>
      <w:lvlText w:val="%2."/>
      <w:lvlJc w:val="left"/>
      <w:pPr>
        <w:ind w:left="800" w:hanging="360"/>
      </w:pPr>
    </w:lvl>
    <w:lvl w:ilvl="2" w:tplc="970081C2">
      <w:start w:val="1"/>
      <w:numFmt w:val="lowerRoman"/>
      <w:lvlText w:val="%3."/>
      <w:lvlJc w:val="right"/>
      <w:pPr>
        <w:ind w:left="1200" w:hanging="180"/>
      </w:pPr>
    </w:lvl>
    <w:lvl w:ilvl="3" w:tplc="6158E954">
      <w:start w:val="1"/>
      <w:numFmt w:val="decimal"/>
      <w:lvlText w:val="%4."/>
      <w:lvlJc w:val="left"/>
      <w:pPr>
        <w:ind w:left="1600" w:hanging="360"/>
      </w:pPr>
    </w:lvl>
    <w:lvl w:ilvl="4" w:tplc="D4D0EC54">
      <w:start w:val="1"/>
      <w:numFmt w:val="lowerLetter"/>
      <w:lvlText w:val="%5."/>
      <w:lvlJc w:val="left"/>
      <w:pPr>
        <w:ind w:left="2000" w:hanging="360"/>
      </w:pPr>
    </w:lvl>
    <w:lvl w:ilvl="5" w:tplc="FB601888">
      <w:start w:val="1"/>
      <w:numFmt w:val="lowerRoman"/>
      <w:lvlText w:val="%6."/>
      <w:lvlJc w:val="right"/>
      <w:pPr>
        <w:ind w:left="2400" w:hanging="180"/>
      </w:pPr>
    </w:lvl>
    <w:lvl w:ilvl="6" w:tplc="650624D8">
      <w:start w:val="1"/>
      <w:numFmt w:val="decimal"/>
      <w:lvlText w:val="%7."/>
      <w:lvlJc w:val="left"/>
      <w:pPr>
        <w:ind w:left="2800" w:hanging="360"/>
      </w:pPr>
    </w:lvl>
    <w:lvl w:ilvl="7" w:tplc="CF129B76">
      <w:start w:val="1"/>
      <w:numFmt w:val="lowerLetter"/>
      <w:lvlText w:val="%8."/>
      <w:lvlJc w:val="left"/>
      <w:pPr>
        <w:ind w:left="3200" w:hanging="360"/>
      </w:pPr>
    </w:lvl>
    <w:lvl w:ilvl="8" w:tplc="832CD410">
      <w:numFmt w:val="decimal"/>
      <w:lvlText w:val=""/>
      <w:lvlJc w:val="left"/>
    </w:lvl>
  </w:abstractNum>
  <w:num w:numId="1" w16cid:durableId="1404335917">
    <w:abstractNumId w:val="0"/>
  </w:num>
  <w:num w:numId="2" w16cid:durableId="396897138">
    <w:abstractNumId w:val="2"/>
  </w:num>
  <w:num w:numId="3" w16cid:durableId="17057107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readOnly" w:enforcement="1"/>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6BB9"/>
    <w:rsid w:val="002D6BB9"/>
    <w:rsid w:val="00317025"/>
    <w:rsid w:val="004A46AB"/>
    <w:rsid w:val="00567640"/>
    <w:rsid w:val="00656998"/>
    <w:rsid w:val="007622BF"/>
    <w:rsid w:val="007C7033"/>
    <w:rsid w:val="00AC2C7C"/>
    <w:rsid w:val="00E26DD2"/>
    <w:rsid w:val="00FF5C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6D4979"/>
  <w15:docId w15:val="{0AFD61F9-EF87-A449-BAE1-8DF69643D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6D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DD2"/>
  </w:style>
  <w:style w:type="paragraph" w:styleId="Footer">
    <w:name w:val="footer"/>
    <w:basedOn w:val="Normal"/>
    <w:link w:val="FooterChar"/>
    <w:uiPriority w:val="99"/>
    <w:unhideWhenUsed/>
    <w:rsid w:val="00E26D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DD2"/>
  </w:style>
  <w:style w:type="character" w:styleId="PageNumber">
    <w:name w:val="page number"/>
    <w:basedOn w:val="DefaultParagraphFont"/>
    <w:uiPriority w:val="99"/>
    <w:semiHidden/>
    <w:unhideWhenUsed/>
    <w:rsid w:val="00E26D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2175</Words>
  <Characters>12404</Characters>
  <Application>Microsoft Office Word</Application>
  <DocSecurity>8</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Rammel, Keegan</cp:lastModifiedBy>
  <cp:revision>2</cp:revision>
  <dcterms:created xsi:type="dcterms:W3CDTF">2024-08-09T18:21:00Z</dcterms:created>
  <dcterms:modified xsi:type="dcterms:W3CDTF">2024-08-09T18:21:00Z</dcterms:modified>
</cp:coreProperties>
</file>